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065"/>
        <w:gridCol w:w="3720"/>
        <w:tblGridChange w:id="0">
          <w:tblGrid>
            <w:gridCol w:w="7065"/>
            <w:gridCol w:w="3720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Improvement Cycles </w:t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Transformation Zone Elevator 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175521" cy="289808"/>
                  <wp:effectExtent b="0" l="0" r="0" t="0"/>
                  <wp:docPr descr="Text&#10;&#10;Description automatically generated" id="3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21" cy="289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Review Improvement Cycles Overview - Topic 4: Transformation Zones. Then create a 2–3-minute elevator speech for leadership in your organization explaining the difference between a “pilot” and a “transformation zone.”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r w:rsidDel="00000000" w:rsidR="00000000" w:rsidRPr="00000000">
        <w:rPr>
          <w:color w:val="0082b3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Try having your elevator speech answer the following questions: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of the key differences between a transformation zone and a pilot? What functions do transformation zones address?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a transformation zone improve the success of scaling up a new program or pilot to the entire organization or system?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transformation zones benefit staff? Administrators? Family or community members?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Now practice your speech with a colleague. </w:t>
      </w:r>
    </w:p>
    <w:sectPr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color w:val="fffff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The Active Implementation Hub, AI Modules and AI Lessons are developed by the</w:t>
    </w:r>
  </w:p>
  <w:p w:rsidR="00000000" w:rsidDel="00000000" w:rsidP="00000000" w:rsidRDefault="00000000" w:rsidRPr="00000000" w14:paraId="00000015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16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17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p w:rsidR="00000000" w:rsidDel="00000000" w:rsidP="00000000" w:rsidRDefault="00000000" w:rsidRPr="00000000" w14:paraId="00000018">
    <w:pPr>
      <w:tabs>
        <w:tab w:val="center" w:leader="none" w:pos="4680"/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695.0" w:type="dxa"/>
      <w:jc w:val="left"/>
      <w:tblInd w:w="9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110"/>
      <w:gridCol w:w="585"/>
      <w:tblGridChange w:id="0">
        <w:tblGrid>
          <w:gridCol w:w="10110"/>
          <w:gridCol w:w="585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19">
          <w:pPr>
            <w:tabs>
              <w:tab w:val="center" w:leader="none" w:pos="4680"/>
              <w:tab w:val="right" w:leader="none" w:pos="9360"/>
            </w:tabs>
            <w:spacing w:after="0" w:before="0" w:lineRule="auto"/>
            <w:ind w:right="360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https://implementation.fpg.unc.edu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1A">
          <w:pP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tabs>
        <w:tab w:val="center" w:leader="none" w:pos="4680"/>
        <w:tab w:val="right" w:leader="none" w:pos="9360"/>
      </w:tabs>
      <w:spacing w:after="0" w:before="0" w:lineRule="auto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bookmarkStart w:colFirst="0" w:colLast="0" w:name="_heading=h.30j0zll" w:id="1"/>
    <w:bookmarkEnd w:id="1"/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1D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1E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1F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nirn..fpg.unc.edu/ai-hub</w:t>
    </w:r>
  </w:p>
  <w:tbl>
    <w:tblPr>
      <w:tblStyle w:val="Table3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rPr>
      <w:rFonts w:cs="Times New Roman" w:eastAsia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7E6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ption">
    <w:name w:val="caption"/>
    <w:basedOn w:val="Normal"/>
    <w:next w:val="Normal"/>
    <w:uiPriority w:val="35"/>
    <w:unhideWhenUsed w:val="1"/>
    <w:qFormat w:val="1"/>
    <w:rsid w:val="004605C3"/>
    <w:pPr>
      <w:spacing w:after="200" w:before="0"/>
    </w:pPr>
    <w:rPr>
      <w:i w:val="1"/>
      <w:iCs w:val="1"/>
      <w:color w:val="0082b3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A512C"/>
    <w:pPr>
      <w:spacing w:after="0" w:before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A512C"/>
    <w:rPr>
      <w:rFonts w:cs="Times New Roman"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1A512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Oom6GuyUmGfanPpSFkEjlrfedQ==">AMUW2mXvUNJnQynrSybD6Eam9MIf+dsuJuDU9YMUl5yWP9fr4n1wWX+uu13zOoHCNYzKAEQQaURWHK12gXfYO9G5wbtB+HSRLd5Sc+0gtbRtJjMwH6f8bq4KSyL5yxYvampYzLISETNO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2022-02-21T11:51:00Z</dcterms:created>
  <dc:creator>JDG</dc:creator>
</cp:coreProperties>
</file>