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168C" w14:textId="5984F50D" w:rsidR="001E67E0" w:rsidRDefault="00000000">
      <w:pPr>
        <w:pBdr>
          <w:top w:val="single" w:sz="4" w:space="1" w:color="000000"/>
          <w:left w:val="single" w:sz="4" w:space="4" w:color="000000"/>
          <w:bottom w:val="single" w:sz="4" w:space="1" w:color="000000"/>
          <w:right w:val="single" w:sz="4" w:space="4" w:color="000000"/>
          <w:between w:val="single" w:sz="4" w:space="1" w:color="000000"/>
        </w:pBdr>
        <w:shd w:val="clear" w:color="auto" w:fill="F8F2E0"/>
        <w:spacing w:before="0" w:after="200" w:line="276" w:lineRule="auto"/>
        <w:ind w:left="288" w:right="288"/>
        <w:jc w:val="left"/>
        <w:rPr>
          <w:rFonts w:eastAsia="Calibri" w:cs="Calibri"/>
          <w:color w:val="000000"/>
          <w:sz w:val="22"/>
          <w:szCs w:val="22"/>
        </w:rPr>
      </w:pPr>
      <w:bookmarkStart w:id="0" w:name="_heading=h.gjdgxs" w:colFirst="0" w:colLast="0"/>
      <w:bookmarkEnd w:id="0"/>
      <w:r>
        <w:rPr>
          <w:rFonts w:eastAsia="Calibri" w:cs="Calibri"/>
          <w:color w:val="000000"/>
          <w:sz w:val="22"/>
          <w:szCs w:val="22"/>
        </w:rPr>
        <w:t xml:space="preserve">Clearly defined components and practices are needed for sound implementation. This process will help you identify the core components of your </w:t>
      </w:r>
      <w:r w:rsidR="00481018">
        <w:rPr>
          <w:rFonts w:eastAsia="Calibri" w:cs="Calibri"/>
          <w:color w:val="000000"/>
          <w:sz w:val="22"/>
          <w:szCs w:val="22"/>
        </w:rPr>
        <w:t>evidence-based</w:t>
      </w:r>
      <w:r>
        <w:rPr>
          <w:rFonts w:eastAsia="Calibri" w:cs="Calibri"/>
          <w:color w:val="000000"/>
          <w:sz w:val="22"/>
          <w:szCs w:val="22"/>
        </w:rPr>
        <w:t xml:space="preserve"> program.</w:t>
      </w:r>
    </w:p>
    <w:p w14:paraId="4E2CB64D" w14:textId="77777777" w:rsidR="001E67E0" w:rsidRDefault="00000000">
      <w:pPr>
        <w:pBdr>
          <w:top w:val="single" w:sz="4" w:space="1" w:color="000000"/>
          <w:left w:val="single" w:sz="4" w:space="4" w:color="000000"/>
          <w:bottom w:val="single" w:sz="4" w:space="1" w:color="000000"/>
          <w:right w:val="single" w:sz="4" w:space="4" w:color="000000"/>
          <w:between w:val="single" w:sz="4" w:space="1" w:color="000000"/>
        </w:pBdr>
        <w:shd w:val="clear" w:color="auto" w:fill="F8F2E0"/>
        <w:spacing w:before="0" w:after="200" w:line="276" w:lineRule="auto"/>
        <w:ind w:left="288" w:right="288"/>
        <w:jc w:val="left"/>
        <w:rPr>
          <w:rFonts w:eastAsia="Calibri" w:cs="Calibri"/>
          <w:color w:val="000000"/>
          <w:sz w:val="22"/>
          <w:szCs w:val="22"/>
        </w:rPr>
      </w:pPr>
      <w:r>
        <w:rPr>
          <w:rFonts w:eastAsia="Calibri" w:cs="Calibri"/>
          <w:color w:val="000000"/>
          <w:sz w:val="22"/>
          <w:szCs w:val="22"/>
        </w:rPr>
        <w:t>List activities that show what the program would “look like” if you were to observe it being used as intended in the school or classroom. Identify each core component of the program, with some developmental and unacceptable variations of this core component. Use a separate form for each core component.</w:t>
      </w:r>
    </w:p>
    <w:p w14:paraId="245A7FB7" w14:textId="77777777" w:rsidR="001E67E0" w:rsidRDefault="00000000">
      <w:pPr>
        <w:pBdr>
          <w:top w:val="single" w:sz="4" w:space="1" w:color="000000"/>
          <w:left w:val="single" w:sz="4" w:space="4" w:color="000000"/>
          <w:bottom w:val="single" w:sz="4" w:space="1" w:color="000000"/>
          <w:right w:val="single" w:sz="4" w:space="4" w:color="000000"/>
          <w:between w:val="single" w:sz="4" w:space="1" w:color="000000"/>
        </w:pBdr>
        <w:shd w:val="clear" w:color="auto" w:fill="F8F2E0"/>
        <w:spacing w:before="0" w:after="200" w:line="276" w:lineRule="auto"/>
        <w:ind w:left="288" w:right="288"/>
        <w:jc w:val="left"/>
        <w:rPr>
          <w:rFonts w:eastAsia="Calibri" w:cs="Calibri"/>
          <w:color w:val="000000"/>
          <w:sz w:val="22"/>
          <w:szCs w:val="22"/>
        </w:rPr>
      </w:pPr>
      <w:r>
        <w:rPr>
          <w:rFonts w:eastAsia="Calibri" w:cs="Calibri"/>
          <w:color w:val="000000"/>
          <w:sz w:val="22"/>
          <w:szCs w:val="22"/>
        </w:rPr>
        <w:t xml:space="preserve">Here are operational definitions of the </w:t>
      </w:r>
      <w:r>
        <w:rPr>
          <w:rFonts w:eastAsia="Calibri" w:cs="Calibri"/>
          <w:i/>
          <w:color w:val="000000"/>
          <w:sz w:val="22"/>
          <w:szCs w:val="22"/>
        </w:rPr>
        <w:t>use in practice</w:t>
      </w:r>
      <w:r>
        <w:rPr>
          <w:rFonts w:eastAsia="Calibri" w:cs="Calibri"/>
          <w:color w:val="000000"/>
          <w:sz w:val="22"/>
          <w:szCs w:val="22"/>
        </w:rPr>
        <w:t xml:space="preserve"> headings for your reference:</w:t>
      </w:r>
    </w:p>
    <w:p w14:paraId="3EE25DDB" w14:textId="77777777" w:rsidR="001E67E0" w:rsidRDefault="00000000">
      <w:pPr>
        <w:pBdr>
          <w:top w:val="single" w:sz="4" w:space="1" w:color="000000"/>
          <w:left w:val="single" w:sz="4" w:space="4" w:color="000000"/>
          <w:bottom w:val="single" w:sz="4" w:space="1" w:color="000000"/>
          <w:right w:val="single" w:sz="4" w:space="4" w:color="000000"/>
          <w:between w:val="single" w:sz="4" w:space="1" w:color="000000"/>
        </w:pBdr>
        <w:shd w:val="clear" w:color="auto" w:fill="F8F2E0"/>
        <w:spacing w:before="0" w:after="200" w:line="276" w:lineRule="auto"/>
        <w:ind w:left="288" w:right="288"/>
        <w:jc w:val="left"/>
        <w:rPr>
          <w:rFonts w:eastAsia="Calibri" w:cs="Calibri"/>
          <w:color w:val="000000"/>
          <w:sz w:val="22"/>
          <w:szCs w:val="22"/>
        </w:rPr>
      </w:pPr>
      <w:r>
        <w:rPr>
          <w:rFonts w:eastAsia="Calibri" w:cs="Calibri"/>
          <w:b/>
          <w:color w:val="000000"/>
          <w:sz w:val="22"/>
          <w:szCs w:val="22"/>
        </w:rPr>
        <w:t>Expected</w:t>
      </w:r>
      <w:r>
        <w:rPr>
          <w:rFonts w:eastAsia="Calibri" w:cs="Calibri"/>
          <w:color w:val="000000"/>
          <w:sz w:val="22"/>
          <w:szCs w:val="22"/>
        </w:rPr>
        <w:t xml:space="preserve"> - Practitioners </w:t>
      </w:r>
      <w:proofErr w:type="gramStart"/>
      <w:r>
        <w:rPr>
          <w:rFonts w:eastAsia="Calibri" w:cs="Calibri"/>
          <w:color w:val="000000"/>
          <w:sz w:val="22"/>
          <w:szCs w:val="22"/>
        </w:rPr>
        <w:t>are able to</w:t>
      </w:r>
      <w:proofErr w:type="gramEnd"/>
      <w:r>
        <w:rPr>
          <w:rFonts w:eastAsia="Calibri" w:cs="Calibri"/>
          <w:color w:val="000000"/>
          <w:sz w:val="22"/>
          <w:szCs w:val="22"/>
        </w:rPr>
        <w:t xml:space="preserve"> generalize required skills and abilities </w:t>
      </w:r>
      <w:r>
        <w:rPr>
          <w:sz w:val="22"/>
          <w:szCs w:val="22"/>
        </w:rPr>
        <w:t>to a wide</w:t>
      </w:r>
      <w:r>
        <w:rPr>
          <w:rFonts w:eastAsia="Calibri" w:cs="Calibri"/>
          <w:color w:val="000000"/>
          <w:sz w:val="22"/>
          <w:szCs w:val="22"/>
        </w:rPr>
        <w:t xml:space="preserve"> range of settings and contexts.  They use these skills consistently and independently and sustain them over time. Practitioners in this group also continue to grow and improve in their position.  Words used to describe expected activities may include “consistently, all of the time, and in a broad range of contexts.”</w:t>
      </w:r>
    </w:p>
    <w:p w14:paraId="0D377440" w14:textId="77777777" w:rsidR="001E67E0" w:rsidRDefault="00000000">
      <w:pPr>
        <w:pBdr>
          <w:top w:val="single" w:sz="4" w:space="1" w:color="000000"/>
          <w:left w:val="single" w:sz="4" w:space="4" w:color="000000"/>
          <w:bottom w:val="single" w:sz="4" w:space="1" w:color="000000"/>
          <w:right w:val="single" w:sz="4" w:space="4" w:color="000000"/>
          <w:between w:val="single" w:sz="4" w:space="1" w:color="000000"/>
        </w:pBdr>
        <w:shd w:val="clear" w:color="auto" w:fill="F8F2E0"/>
        <w:spacing w:before="0" w:after="200" w:line="276" w:lineRule="auto"/>
        <w:ind w:left="288" w:right="288"/>
        <w:jc w:val="left"/>
        <w:rPr>
          <w:rFonts w:eastAsia="Calibri" w:cs="Calibri"/>
          <w:color w:val="000000"/>
          <w:sz w:val="22"/>
          <w:szCs w:val="22"/>
        </w:rPr>
      </w:pPr>
      <w:r>
        <w:rPr>
          <w:rFonts w:eastAsia="Calibri" w:cs="Calibri"/>
          <w:b/>
          <w:color w:val="000000"/>
          <w:sz w:val="22"/>
          <w:szCs w:val="22"/>
        </w:rPr>
        <w:t xml:space="preserve">Developmental - </w:t>
      </w:r>
      <w:r>
        <w:rPr>
          <w:rFonts w:eastAsia="Calibri" w:cs="Calibri"/>
          <w:color w:val="000000"/>
          <w:sz w:val="22"/>
          <w:szCs w:val="22"/>
        </w:rPr>
        <w:t xml:space="preserve">Practitioners </w:t>
      </w:r>
      <w:proofErr w:type="gramStart"/>
      <w:r>
        <w:rPr>
          <w:rFonts w:eastAsia="Calibri" w:cs="Calibri"/>
          <w:color w:val="000000"/>
          <w:sz w:val="22"/>
          <w:szCs w:val="22"/>
        </w:rPr>
        <w:t>are able to</w:t>
      </w:r>
      <w:proofErr w:type="gramEnd"/>
      <w:r>
        <w:rPr>
          <w:rFonts w:eastAsia="Calibri" w:cs="Calibri"/>
          <w:color w:val="000000"/>
          <w:sz w:val="22"/>
          <w:szCs w:val="22"/>
        </w:rPr>
        <w:t xml:space="preserve"> implement required skills and abilities, but in a more limited range of contexts and settings. They use these skills inconsistently or need supervisor/coach consultation to complete or successfully apply skills. These practitioners would benefit from a coaching agenda that targets </w:t>
      </w:r>
      <w:proofErr w:type="gramStart"/>
      <w:r>
        <w:rPr>
          <w:rFonts w:eastAsia="Calibri" w:cs="Calibri"/>
          <w:color w:val="000000"/>
          <w:sz w:val="22"/>
          <w:szCs w:val="22"/>
        </w:rPr>
        <w:t>particular skills</w:t>
      </w:r>
      <w:proofErr w:type="gramEnd"/>
      <w:r>
        <w:rPr>
          <w:rFonts w:eastAsia="Calibri" w:cs="Calibri"/>
          <w:color w:val="000000"/>
          <w:sz w:val="22"/>
          <w:szCs w:val="22"/>
        </w:rPr>
        <w:t xml:space="preserve"> for improvement in order to move practitioners into the “expected” category. Words used to describe developmental activities may include “some of the time, somewhat inconsistently, in a limited range of contexts.”  </w:t>
      </w:r>
    </w:p>
    <w:p w14:paraId="23737EFD" w14:textId="77777777" w:rsidR="001E67E0" w:rsidRDefault="00000000">
      <w:pPr>
        <w:pBdr>
          <w:top w:val="single" w:sz="4" w:space="1" w:color="000000"/>
          <w:left w:val="single" w:sz="4" w:space="4" w:color="000000"/>
          <w:bottom w:val="single" w:sz="4" w:space="1" w:color="000000"/>
          <w:right w:val="single" w:sz="4" w:space="4" w:color="000000"/>
          <w:between w:val="single" w:sz="4" w:space="1" w:color="000000"/>
        </w:pBdr>
        <w:shd w:val="clear" w:color="auto" w:fill="F8F2E0"/>
        <w:spacing w:before="0" w:after="200" w:line="276" w:lineRule="auto"/>
        <w:ind w:left="288" w:right="288"/>
        <w:jc w:val="left"/>
        <w:rPr>
          <w:rFonts w:eastAsia="Calibri" w:cs="Calibri"/>
          <w:color w:val="000000"/>
          <w:sz w:val="22"/>
          <w:szCs w:val="22"/>
        </w:rPr>
      </w:pPr>
      <w:r>
        <w:rPr>
          <w:rFonts w:eastAsia="Calibri" w:cs="Calibri"/>
          <w:b/>
          <w:color w:val="000000"/>
          <w:sz w:val="22"/>
          <w:szCs w:val="22"/>
        </w:rPr>
        <w:t xml:space="preserve">Unacceptable - </w:t>
      </w:r>
      <w:r>
        <w:rPr>
          <w:rFonts w:eastAsia="Calibri" w:cs="Calibri"/>
          <w:color w:val="000000"/>
          <w:sz w:val="22"/>
          <w:szCs w:val="22"/>
        </w:rPr>
        <w:t xml:space="preserve">Practitioners are not yet able to implement required skills or abilities in any context. </w:t>
      </w:r>
      <w:proofErr w:type="gramStart"/>
      <w:r>
        <w:rPr>
          <w:rFonts w:eastAsia="Calibri" w:cs="Calibri"/>
          <w:color w:val="000000"/>
          <w:sz w:val="22"/>
          <w:szCs w:val="22"/>
        </w:rPr>
        <w:t>Often times</w:t>
      </w:r>
      <w:proofErr w:type="gramEnd"/>
      <w:r>
        <w:rPr>
          <w:rFonts w:eastAsia="Calibri" w:cs="Calibri"/>
          <w:color w:val="000000"/>
          <w:sz w:val="22"/>
          <w:szCs w:val="22"/>
        </w:rPr>
        <w:t xml:space="preserve">, if practitioners’ work is falling into the unacceptable category, there may be challenges related to the overall implementation infrastructure. For example, there may be issues with how they are selecting or training staff, managing the new program model, or using data to inform continuous improvement.  Words to describe unacceptable activities may include “none of the time, inconsistently.”  This column may indicate large scale unmet needs related to the implementation drivers. The column also should include unacceptable activity that is beyond the absence of or opposite of activity stated in the developmental or expected categories.  </w:t>
      </w:r>
    </w:p>
    <w:p w14:paraId="20DB6B2E" w14:textId="77777777" w:rsidR="001E67E0" w:rsidRDefault="001E67E0">
      <w:pPr>
        <w:tabs>
          <w:tab w:val="left" w:pos="5070"/>
          <w:tab w:val="center" w:pos="5400"/>
        </w:tabs>
        <w:spacing w:after="0"/>
      </w:pPr>
    </w:p>
    <w:tbl>
      <w:tblPr>
        <w:tblStyle w:val="a"/>
        <w:tblW w:w="14324" w:type="dxa"/>
        <w:tblInd w:w="-108" w:type="dxa"/>
        <w:tblBorders>
          <w:top w:val="single" w:sz="8" w:space="0" w:color="0082B3"/>
          <w:left w:val="single" w:sz="8" w:space="0" w:color="0082B3"/>
          <w:bottom w:val="single" w:sz="8" w:space="0" w:color="0082B3"/>
          <w:right w:val="single" w:sz="8" w:space="0" w:color="0082B3"/>
          <w:insideH w:val="single" w:sz="6" w:space="0" w:color="0082B3"/>
          <w:insideV w:val="single" w:sz="6" w:space="0" w:color="0082B3"/>
        </w:tblBorders>
        <w:tblLayout w:type="fixed"/>
        <w:tblLook w:val="04A0" w:firstRow="1" w:lastRow="0" w:firstColumn="1" w:lastColumn="0" w:noHBand="0" w:noVBand="1"/>
      </w:tblPr>
      <w:tblGrid>
        <w:gridCol w:w="3366"/>
        <w:gridCol w:w="17"/>
        <w:gridCol w:w="3316"/>
        <w:gridCol w:w="2526"/>
        <w:gridCol w:w="2553"/>
        <w:gridCol w:w="2546"/>
      </w:tblGrid>
      <w:tr w:rsidR="001E67E0" w14:paraId="28DD3CFB" w14:textId="77777777" w:rsidTr="00481018">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383" w:type="dxa"/>
            <w:gridSpan w:val="2"/>
            <w:tcBorders>
              <w:bottom w:val="single" w:sz="8" w:space="0" w:color="006186"/>
            </w:tcBorders>
            <w:shd w:val="clear" w:color="auto" w:fill="006186"/>
          </w:tcPr>
          <w:p w14:paraId="1CAB9130" w14:textId="77777777" w:rsidR="001E67E0" w:rsidRDefault="00000000">
            <w:r>
              <w:rPr>
                <w:sz w:val="28"/>
                <w:szCs w:val="28"/>
              </w:rPr>
              <w:lastRenderedPageBreak/>
              <w:t>Core Component</w:t>
            </w:r>
          </w:p>
        </w:tc>
        <w:tc>
          <w:tcPr>
            <w:tcW w:w="3316" w:type="dxa"/>
            <w:tcBorders>
              <w:bottom w:val="single" w:sz="8" w:space="0" w:color="006186"/>
            </w:tcBorders>
            <w:shd w:val="clear" w:color="auto" w:fill="006186"/>
          </w:tcPr>
          <w:p w14:paraId="7CEDB13B" w14:textId="77777777" w:rsidR="001E67E0" w:rsidRDefault="00000000">
            <w:pPr>
              <w:cnfStyle w:val="100000000000" w:firstRow="1" w:lastRow="0" w:firstColumn="0" w:lastColumn="0" w:oddVBand="0" w:evenVBand="0" w:oddHBand="0" w:evenHBand="0" w:firstRowFirstColumn="0" w:firstRowLastColumn="0" w:lastRowFirstColumn="0" w:lastRowLastColumn="0"/>
            </w:pPr>
            <w:r>
              <w:rPr>
                <w:sz w:val="28"/>
                <w:szCs w:val="28"/>
              </w:rPr>
              <w:t xml:space="preserve">Contribution </w:t>
            </w:r>
            <w:r>
              <w:rPr>
                <w:sz w:val="28"/>
                <w:szCs w:val="28"/>
              </w:rPr>
              <w:br/>
              <w:t>to the Outcome</w:t>
            </w:r>
          </w:p>
        </w:tc>
        <w:tc>
          <w:tcPr>
            <w:tcW w:w="2526" w:type="dxa"/>
            <w:tcBorders>
              <w:bottom w:val="single" w:sz="8" w:space="0" w:color="006186"/>
            </w:tcBorders>
            <w:shd w:val="clear" w:color="auto" w:fill="006186"/>
          </w:tcPr>
          <w:p w14:paraId="45B5199F" w14:textId="77777777" w:rsidR="001E67E0" w:rsidRDefault="00000000">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Expected </w:t>
            </w:r>
            <w:r>
              <w:rPr>
                <w:sz w:val="28"/>
                <w:szCs w:val="28"/>
              </w:rPr>
              <w:br/>
              <w:t>Use in Practice</w:t>
            </w:r>
          </w:p>
        </w:tc>
        <w:tc>
          <w:tcPr>
            <w:tcW w:w="2553" w:type="dxa"/>
            <w:tcBorders>
              <w:bottom w:val="single" w:sz="8" w:space="0" w:color="006186"/>
            </w:tcBorders>
            <w:shd w:val="clear" w:color="auto" w:fill="006186"/>
          </w:tcPr>
          <w:p w14:paraId="4FA4C5E6" w14:textId="77777777" w:rsidR="001E67E0" w:rsidRDefault="00000000">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Developmental</w:t>
            </w:r>
            <w:r>
              <w:rPr>
                <w:sz w:val="28"/>
                <w:szCs w:val="28"/>
              </w:rPr>
              <w:br/>
              <w:t>Use in Practice</w:t>
            </w:r>
          </w:p>
        </w:tc>
        <w:tc>
          <w:tcPr>
            <w:tcW w:w="2546" w:type="dxa"/>
            <w:tcBorders>
              <w:bottom w:val="single" w:sz="8" w:space="0" w:color="006186"/>
            </w:tcBorders>
            <w:shd w:val="clear" w:color="auto" w:fill="006186"/>
          </w:tcPr>
          <w:p w14:paraId="7F48D9EC" w14:textId="77777777" w:rsidR="001E67E0" w:rsidRDefault="00000000">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Unacceptable </w:t>
            </w:r>
            <w:r>
              <w:rPr>
                <w:sz w:val="28"/>
                <w:szCs w:val="28"/>
              </w:rPr>
              <w:br/>
              <w:t>Use in Practice</w:t>
            </w:r>
          </w:p>
        </w:tc>
      </w:tr>
      <w:tr w:rsidR="001E67E0" w14:paraId="4EC2D949" w14:textId="77777777" w:rsidTr="0048101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3366" w:type="dxa"/>
            <w:tcBorders>
              <w:top w:val="single" w:sz="8" w:space="0" w:color="006186"/>
              <w:left w:val="single" w:sz="8" w:space="0" w:color="006186"/>
              <w:bottom w:val="single" w:sz="8" w:space="0" w:color="006186"/>
              <w:right w:val="single" w:sz="8" w:space="0" w:color="006186"/>
            </w:tcBorders>
            <w:shd w:val="clear" w:color="auto" w:fill="F2F2F2"/>
          </w:tcPr>
          <w:p w14:paraId="4A79219B" w14:textId="77777777" w:rsidR="001E67E0" w:rsidRDefault="00000000">
            <w:pPr>
              <w:rPr>
                <w:sz w:val="20"/>
                <w:szCs w:val="20"/>
              </w:rPr>
            </w:pPr>
            <w:r>
              <w:rPr>
                <w:b w:val="0"/>
                <w:sz w:val="20"/>
                <w:szCs w:val="20"/>
              </w:rPr>
              <w:t>Description of this component</w:t>
            </w:r>
          </w:p>
        </w:tc>
        <w:tc>
          <w:tcPr>
            <w:tcW w:w="3333" w:type="dxa"/>
            <w:gridSpan w:val="2"/>
            <w:tcBorders>
              <w:top w:val="single" w:sz="8" w:space="0" w:color="006186"/>
              <w:left w:val="single" w:sz="8" w:space="0" w:color="006186"/>
              <w:bottom w:val="single" w:sz="8" w:space="0" w:color="006186"/>
              <w:right w:val="single" w:sz="8" w:space="0" w:color="006186"/>
            </w:tcBorders>
            <w:shd w:val="clear" w:color="auto" w:fill="F2F2F2"/>
          </w:tcPr>
          <w:p w14:paraId="240B0888" w14:textId="77777777" w:rsidR="001E67E0"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Describe why this core component is important to achieving the outcome</w:t>
            </w:r>
          </w:p>
        </w:tc>
        <w:tc>
          <w:tcPr>
            <w:tcW w:w="2526" w:type="dxa"/>
            <w:tcBorders>
              <w:top w:val="single" w:sz="8" w:space="0" w:color="006186"/>
              <w:left w:val="single" w:sz="8" w:space="0" w:color="006186"/>
              <w:bottom w:val="single" w:sz="8" w:space="0" w:color="006186"/>
              <w:right w:val="single" w:sz="8" w:space="0" w:color="006186"/>
            </w:tcBorders>
            <w:shd w:val="clear" w:color="auto" w:fill="F2F2F2"/>
          </w:tcPr>
          <w:p w14:paraId="56531F59" w14:textId="77777777" w:rsidR="001E67E0"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Description of </w:t>
            </w:r>
            <w:r>
              <w:rPr>
                <w:sz w:val="20"/>
                <w:szCs w:val="20"/>
              </w:rPr>
              <w:br/>
              <w:t>practitioner behavior</w:t>
            </w:r>
          </w:p>
        </w:tc>
        <w:tc>
          <w:tcPr>
            <w:tcW w:w="2553" w:type="dxa"/>
            <w:tcBorders>
              <w:top w:val="single" w:sz="8" w:space="0" w:color="006186"/>
              <w:left w:val="single" w:sz="8" w:space="0" w:color="006186"/>
              <w:bottom w:val="single" w:sz="8" w:space="0" w:color="006186"/>
              <w:right w:val="single" w:sz="8" w:space="0" w:color="006186"/>
            </w:tcBorders>
            <w:shd w:val="clear" w:color="auto" w:fill="F2F2F2"/>
          </w:tcPr>
          <w:p w14:paraId="4DE68048" w14:textId="77777777" w:rsidR="001E67E0"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Description of </w:t>
            </w:r>
            <w:r>
              <w:rPr>
                <w:sz w:val="20"/>
                <w:szCs w:val="20"/>
              </w:rPr>
              <w:br/>
              <w:t>practitioner behavior</w:t>
            </w:r>
          </w:p>
        </w:tc>
        <w:tc>
          <w:tcPr>
            <w:tcW w:w="2546" w:type="dxa"/>
            <w:tcBorders>
              <w:top w:val="single" w:sz="8" w:space="0" w:color="006186"/>
              <w:left w:val="single" w:sz="8" w:space="0" w:color="006186"/>
              <w:bottom w:val="single" w:sz="8" w:space="0" w:color="006186"/>
              <w:right w:val="single" w:sz="8" w:space="0" w:color="006186"/>
            </w:tcBorders>
            <w:shd w:val="clear" w:color="auto" w:fill="F2F2F2"/>
          </w:tcPr>
          <w:p w14:paraId="1ED43A07" w14:textId="77777777" w:rsidR="001E67E0" w:rsidRDefault="0000000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Description of </w:t>
            </w:r>
            <w:r>
              <w:rPr>
                <w:sz w:val="20"/>
                <w:szCs w:val="20"/>
              </w:rPr>
              <w:br/>
              <w:t>practitioner behavior</w:t>
            </w:r>
          </w:p>
        </w:tc>
      </w:tr>
      <w:tr w:rsidR="001E67E0" w14:paraId="62F369B7" w14:textId="77777777" w:rsidTr="00481018">
        <w:trPr>
          <w:trHeight w:val="7837"/>
        </w:trPr>
        <w:tc>
          <w:tcPr>
            <w:cnfStyle w:val="001000000000" w:firstRow="0" w:lastRow="0" w:firstColumn="1" w:lastColumn="0" w:oddVBand="0" w:evenVBand="0" w:oddHBand="0" w:evenHBand="0" w:firstRowFirstColumn="0" w:firstRowLastColumn="0" w:lastRowFirstColumn="0" w:lastRowLastColumn="0"/>
            <w:tcW w:w="3366" w:type="dxa"/>
            <w:tcBorders>
              <w:top w:val="single" w:sz="8" w:space="0" w:color="006186"/>
            </w:tcBorders>
          </w:tcPr>
          <w:p w14:paraId="2416AEF2" w14:textId="77777777" w:rsidR="001E67E0" w:rsidRDefault="001E67E0"/>
        </w:tc>
        <w:tc>
          <w:tcPr>
            <w:tcW w:w="3333" w:type="dxa"/>
            <w:gridSpan w:val="2"/>
            <w:tcBorders>
              <w:top w:val="single" w:sz="8" w:space="0" w:color="006186"/>
            </w:tcBorders>
          </w:tcPr>
          <w:p w14:paraId="15424332" w14:textId="77777777" w:rsidR="001E67E0" w:rsidRDefault="001E67E0">
            <w:pPr>
              <w:cnfStyle w:val="000000000000" w:firstRow="0" w:lastRow="0" w:firstColumn="0" w:lastColumn="0" w:oddVBand="0" w:evenVBand="0" w:oddHBand="0" w:evenHBand="0" w:firstRowFirstColumn="0" w:firstRowLastColumn="0" w:lastRowFirstColumn="0" w:lastRowLastColumn="0"/>
            </w:pPr>
          </w:p>
        </w:tc>
        <w:tc>
          <w:tcPr>
            <w:tcW w:w="2526" w:type="dxa"/>
            <w:tcBorders>
              <w:top w:val="single" w:sz="8" w:space="0" w:color="006186"/>
            </w:tcBorders>
          </w:tcPr>
          <w:p w14:paraId="2A18A15E" w14:textId="77777777" w:rsidR="001E67E0" w:rsidRDefault="001E67E0">
            <w:pPr>
              <w:cnfStyle w:val="000000000000" w:firstRow="0" w:lastRow="0" w:firstColumn="0" w:lastColumn="0" w:oddVBand="0" w:evenVBand="0" w:oddHBand="0" w:evenHBand="0" w:firstRowFirstColumn="0" w:firstRowLastColumn="0" w:lastRowFirstColumn="0" w:lastRowLastColumn="0"/>
            </w:pPr>
          </w:p>
        </w:tc>
        <w:tc>
          <w:tcPr>
            <w:tcW w:w="2553" w:type="dxa"/>
            <w:tcBorders>
              <w:top w:val="single" w:sz="8" w:space="0" w:color="006186"/>
            </w:tcBorders>
          </w:tcPr>
          <w:p w14:paraId="0DF36293" w14:textId="77777777" w:rsidR="001E67E0" w:rsidRDefault="001E67E0">
            <w:pPr>
              <w:cnfStyle w:val="000000000000" w:firstRow="0" w:lastRow="0" w:firstColumn="0" w:lastColumn="0" w:oddVBand="0" w:evenVBand="0" w:oddHBand="0" w:evenHBand="0" w:firstRowFirstColumn="0" w:firstRowLastColumn="0" w:lastRowFirstColumn="0" w:lastRowLastColumn="0"/>
            </w:pPr>
          </w:p>
        </w:tc>
        <w:tc>
          <w:tcPr>
            <w:tcW w:w="2546" w:type="dxa"/>
            <w:tcBorders>
              <w:top w:val="single" w:sz="8" w:space="0" w:color="006186"/>
            </w:tcBorders>
          </w:tcPr>
          <w:p w14:paraId="4D19698F" w14:textId="77777777" w:rsidR="001E67E0" w:rsidRDefault="001E67E0">
            <w:pPr>
              <w:cnfStyle w:val="000000000000" w:firstRow="0" w:lastRow="0" w:firstColumn="0" w:lastColumn="0" w:oddVBand="0" w:evenVBand="0" w:oddHBand="0" w:evenHBand="0" w:firstRowFirstColumn="0" w:firstRowLastColumn="0" w:lastRowFirstColumn="0" w:lastRowLastColumn="0"/>
            </w:pPr>
          </w:p>
        </w:tc>
      </w:tr>
    </w:tbl>
    <w:p w14:paraId="2F2B785C" w14:textId="77777777" w:rsidR="001E67E0" w:rsidRDefault="001E67E0"/>
    <w:sectPr w:rsidR="001E67E0">
      <w:footerReference w:type="default" r:id="rId8"/>
      <w:headerReference w:type="first" r:id="rId9"/>
      <w:footerReference w:type="first" r:id="rId10"/>
      <w:pgSz w:w="15840" w:h="12240" w:orient="landscape"/>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5AEC" w14:textId="77777777" w:rsidR="006A34CF" w:rsidRDefault="006A34CF">
      <w:pPr>
        <w:spacing w:before="0" w:after="0"/>
      </w:pPr>
      <w:r>
        <w:separator/>
      </w:r>
    </w:p>
  </w:endnote>
  <w:endnote w:type="continuationSeparator" w:id="0">
    <w:p w14:paraId="29C03CBA" w14:textId="77777777" w:rsidR="006A34CF" w:rsidRDefault="006A34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6683" w14:textId="77777777" w:rsidR="001E67E0" w:rsidRDefault="001E67E0">
    <w:pPr>
      <w:widowControl w:val="0"/>
      <w:pBdr>
        <w:top w:val="nil"/>
        <w:left w:val="nil"/>
        <w:bottom w:val="nil"/>
        <w:right w:val="nil"/>
        <w:between w:val="nil"/>
      </w:pBdr>
      <w:spacing w:before="0" w:after="0" w:line="276" w:lineRule="auto"/>
      <w:jc w:val="left"/>
      <w:rPr>
        <w:rFonts w:eastAsia="Calibri" w:cs="Calibri"/>
        <w:color w:val="000000"/>
      </w:rPr>
    </w:pPr>
  </w:p>
  <w:tbl>
    <w:tblPr>
      <w:tblStyle w:val="a1"/>
      <w:tblW w:w="14400" w:type="dxa"/>
      <w:tblInd w:w="-6" w:type="dxa"/>
      <w:tblBorders>
        <w:top w:val="single" w:sz="24" w:space="0" w:color="38C8FF"/>
        <w:left w:val="single" w:sz="24" w:space="0" w:color="38C8FF"/>
        <w:bottom w:val="single" w:sz="24" w:space="0" w:color="38C8FF"/>
        <w:right w:val="single" w:sz="24" w:space="0" w:color="38C8FF"/>
      </w:tblBorders>
      <w:tblLayout w:type="fixed"/>
      <w:tblLook w:val="0400" w:firstRow="0" w:lastRow="0" w:firstColumn="0" w:lastColumn="0" w:noHBand="0" w:noVBand="1"/>
    </w:tblPr>
    <w:tblGrid>
      <w:gridCol w:w="11475"/>
      <w:gridCol w:w="2925"/>
    </w:tblGrid>
    <w:tr w:rsidR="001E67E0" w14:paraId="6714F391" w14:textId="77777777">
      <w:trPr>
        <w:trHeight w:val="432"/>
      </w:trPr>
      <w:tc>
        <w:tcPr>
          <w:tcW w:w="11475" w:type="dxa"/>
          <w:tcBorders>
            <w:top w:val="nil"/>
            <w:left w:val="nil"/>
            <w:bottom w:val="nil"/>
          </w:tcBorders>
          <w:shd w:val="clear" w:color="auto" w:fill="3F3F3F"/>
          <w:vAlign w:val="center"/>
        </w:tcPr>
        <w:p w14:paraId="67EA8468" w14:textId="77777777" w:rsidR="001E67E0" w:rsidRDefault="00000000">
          <w:pPr>
            <w:pBdr>
              <w:top w:val="nil"/>
              <w:left w:val="nil"/>
              <w:bottom w:val="nil"/>
              <w:right w:val="nil"/>
              <w:between w:val="nil"/>
            </w:pBdr>
            <w:tabs>
              <w:tab w:val="center" w:pos="4680"/>
              <w:tab w:val="right" w:pos="9360"/>
            </w:tabs>
            <w:spacing w:before="0" w:after="0"/>
            <w:jc w:val="left"/>
            <w:rPr>
              <w:rFonts w:eastAsia="Calibri" w:cs="Calibri"/>
              <w:smallCaps/>
              <w:color w:val="FFFFFF"/>
            </w:rPr>
          </w:pPr>
          <w:r>
            <w:rPr>
              <w:rFonts w:eastAsia="Calibri" w:cs="Calibri"/>
              <w:color w:val="FFFFFF"/>
              <w:sz w:val="20"/>
              <w:szCs w:val="20"/>
            </w:rPr>
            <w:t xml:space="preserve">The AI HUB is developed and maintained by the State Implementation and Scaling-up of Evidence-based Practices Center (SISEP) </w:t>
          </w:r>
          <w:r>
            <w:rPr>
              <w:rFonts w:eastAsia="Calibri" w:cs="Calibri"/>
              <w:color w:val="FFFFFF"/>
              <w:sz w:val="20"/>
              <w:szCs w:val="20"/>
            </w:rPr>
            <w:br/>
            <w:t>and the National Implementation Research Network (NIRN)</w:t>
          </w:r>
        </w:p>
      </w:tc>
      <w:tc>
        <w:tcPr>
          <w:tcW w:w="2925" w:type="dxa"/>
          <w:tcBorders>
            <w:top w:val="nil"/>
            <w:bottom w:val="nil"/>
            <w:right w:val="nil"/>
          </w:tcBorders>
          <w:shd w:val="clear" w:color="auto" w:fill="006186"/>
          <w:vAlign w:val="center"/>
        </w:tcPr>
        <w:p w14:paraId="2AE67B4D" w14:textId="77777777" w:rsidR="001E67E0" w:rsidRDefault="00000000">
          <w:pPr>
            <w:pBdr>
              <w:top w:val="nil"/>
              <w:left w:val="nil"/>
              <w:bottom w:val="nil"/>
              <w:right w:val="nil"/>
              <w:between w:val="nil"/>
            </w:pBdr>
            <w:tabs>
              <w:tab w:val="center" w:pos="4680"/>
              <w:tab w:val="right" w:pos="9360"/>
            </w:tabs>
            <w:spacing w:before="0" w:after="0"/>
            <w:jc w:val="left"/>
            <w:rPr>
              <w:rFonts w:eastAsia="Calibri" w:cs="Calibri"/>
              <w:smallCaps/>
              <w:color w:val="FFFFFF"/>
            </w:rPr>
          </w:pPr>
          <w:r>
            <w:rPr>
              <w:rFonts w:ascii="Trebuchet MS" w:eastAsia="Trebuchet MS" w:hAnsi="Trebuchet MS" w:cs="Trebuchet MS"/>
              <w:color w:val="FFFFFF"/>
              <w:sz w:val="20"/>
              <w:szCs w:val="20"/>
            </w:rPr>
            <w:t>implementation.fpg.unc.edu</w:t>
          </w:r>
        </w:p>
      </w:tc>
    </w:tr>
  </w:tbl>
  <w:p w14:paraId="29D0DD2A" w14:textId="77777777" w:rsidR="001E67E0" w:rsidRDefault="001E67E0">
    <w:pPr>
      <w:pBdr>
        <w:top w:val="nil"/>
        <w:left w:val="nil"/>
        <w:bottom w:val="nil"/>
        <w:right w:val="nil"/>
        <w:between w:val="nil"/>
      </w:pBdr>
      <w:tabs>
        <w:tab w:val="center" w:pos="4680"/>
        <w:tab w:val="right" w:pos="9360"/>
      </w:tabs>
      <w:spacing w:before="0" w:after="0"/>
      <w:jc w:val="left"/>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7697" w14:textId="77777777" w:rsidR="001E67E0" w:rsidRPr="00481018" w:rsidRDefault="00000000">
    <w:pPr>
      <w:tabs>
        <w:tab w:val="left" w:pos="5070"/>
        <w:tab w:val="center" w:pos="5400"/>
      </w:tabs>
      <w:spacing w:after="0"/>
      <w:rPr>
        <w:sz w:val="18"/>
        <w:szCs w:val="18"/>
      </w:rPr>
    </w:pPr>
    <w:r w:rsidRPr="00481018">
      <w:rPr>
        <w:sz w:val="18"/>
        <w:szCs w:val="18"/>
      </w:rPr>
      <w:t>The Active Implementation Hub, AI Modules and AI Lessons are developed by the</w:t>
    </w:r>
  </w:p>
  <w:p w14:paraId="5475461D" w14:textId="77777777" w:rsidR="001E67E0" w:rsidRPr="00481018" w:rsidRDefault="00000000">
    <w:pPr>
      <w:tabs>
        <w:tab w:val="left" w:pos="5070"/>
        <w:tab w:val="center" w:pos="5400"/>
      </w:tabs>
      <w:spacing w:after="0"/>
      <w:rPr>
        <w:sz w:val="18"/>
        <w:szCs w:val="18"/>
      </w:rPr>
    </w:pPr>
    <w:r w:rsidRPr="00481018">
      <w:rPr>
        <w:sz w:val="18"/>
        <w:szCs w:val="18"/>
      </w:rPr>
      <w:t>State Implementation &amp; Scaling-up of Evidence-based Practices Center (SISEP) and The National Implementation Research Network (NIRN)</w:t>
    </w:r>
  </w:p>
  <w:p w14:paraId="320F9669" w14:textId="77777777" w:rsidR="001E67E0" w:rsidRPr="00481018" w:rsidRDefault="00000000">
    <w:pPr>
      <w:tabs>
        <w:tab w:val="left" w:pos="5070"/>
        <w:tab w:val="center" w:pos="5400"/>
      </w:tabs>
      <w:spacing w:after="0"/>
      <w:rPr>
        <w:sz w:val="18"/>
        <w:szCs w:val="18"/>
      </w:rPr>
    </w:pPr>
    <w:r w:rsidRPr="00481018">
      <w:rPr>
        <w:sz w:val="18"/>
        <w:szCs w:val="18"/>
      </w:rPr>
      <w:t>located at The University of North Carolina at Chapel Hill’s FPG Child Development Institute. Copyright 2015.</w:t>
    </w:r>
  </w:p>
  <w:p w14:paraId="6A8B54CA" w14:textId="7B462D23" w:rsidR="001E67E0" w:rsidRDefault="00000000" w:rsidP="00481018">
    <w:pPr>
      <w:tabs>
        <w:tab w:val="left" w:pos="5070"/>
        <w:tab w:val="center" w:pos="5400"/>
      </w:tabs>
      <w:spacing w:after="0"/>
    </w:pPr>
    <w:r w:rsidRPr="00481018">
      <w:rPr>
        <w:sz w:val="18"/>
        <w:szCs w:val="18"/>
      </w:rPr>
      <w:t>THE ACTIVE IMPLEMENTATION HUB | implementation.fpg.unc.edu</w:t>
    </w:r>
  </w:p>
  <w:tbl>
    <w:tblPr>
      <w:tblStyle w:val="a0"/>
      <w:tblW w:w="14400" w:type="dxa"/>
      <w:tblInd w:w="-6" w:type="dxa"/>
      <w:tblBorders>
        <w:top w:val="single" w:sz="24" w:space="0" w:color="38C8FF"/>
        <w:left w:val="single" w:sz="24" w:space="0" w:color="38C8FF"/>
        <w:bottom w:val="single" w:sz="24" w:space="0" w:color="38C8FF"/>
        <w:right w:val="single" w:sz="24" w:space="0" w:color="38C8FF"/>
      </w:tblBorders>
      <w:tblLayout w:type="fixed"/>
      <w:tblLook w:val="0400" w:firstRow="0" w:lastRow="0" w:firstColumn="0" w:lastColumn="0" w:noHBand="0" w:noVBand="1"/>
    </w:tblPr>
    <w:tblGrid>
      <w:gridCol w:w="11295"/>
      <w:gridCol w:w="3105"/>
    </w:tblGrid>
    <w:tr w:rsidR="001E67E0" w14:paraId="73B92B78" w14:textId="77777777">
      <w:trPr>
        <w:trHeight w:val="432"/>
      </w:trPr>
      <w:tc>
        <w:tcPr>
          <w:tcW w:w="11295" w:type="dxa"/>
          <w:tcBorders>
            <w:top w:val="nil"/>
            <w:left w:val="nil"/>
            <w:bottom w:val="nil"/>
          </w:tcBorders>
          <w:shd w:val="clear" w:color="auto" w:fill="3F3F3F"/>
          <w:vAlign w:val="center"/>
        </w:tcPr>
        <w:p w14:paraId="7E40B281" w14:textId="77777777" w:rsidR="001E67E0" w:rsidRDefault="00000000">
          <w:pPr>
            <w:pBdr>
              <w:top w:val="nil"/>
              <w:left w:val="nil"/>
              <w:bottom w:val="nil"/>
              <w:right w:val="nil"/>
              <w:between w:val="nil"/>
            </w:pBdr>
            <w:tabs>
              <w:tab w:val="center" w:pos="4680"/>
              <w:tab w:val="right" w:pos="9360"/>
            </w:tabs>
            <w:spacing w:before="0" w:after="0"/>
            <w:jc w:val="left"/>
            <w:rPr>
              <w:rFonts w:eastAsia="Calibri" w:cs="Calibri"/>
              <w:smallCaps/>
              <w:color w:val="FFFFFF"/>
            </w:rPr>
          </w:pPr>
          <w:r>
            <w:rPr>
              <w:rFonts w:eastAsia="Calibri" w:cs="Calibri"/>
              <w:color w:val="FFFFFF"/>
              <w:sz w:val="20"/>
              <w:szCs w:val="20"/>
            </w:rPr>
            <w:t xml:space="preserve">The AI HUB is developed and maintained by the State Implementation and Scaling-up of Evidence-based Practices Center (SISEP) </w:t>
          </w:r>
          <w:r>
            <w:rPr>
              <w:rFonts w:eastAsia="Calibri" w:cs="Calibri"/>
              <w:color w:val="FFFFFF"/>
              <w:sz w:val="20"/>
              <w:szCs w:val="20"/>
            </w:rPr>
            <w:br/>
            <w:t>and the National Implementation Research Network (NIRN)</w:t>
          </w:r>
        </w:p>
      </w:tc>
      <w:tc>
        <w:tcPr>
          <w:tcW w:w="3105" w:type="dxa"/>
          <w:tcBorders>
            <w:top w:val="nil"/>
            <w:bottom w:val="nil"/>
            <w:right w:val="nil"/>
          </w:tcBorders>
          <w:shd w:val="clear" w:color="auto" w:fill="006186"/>
          <w:vAlign w:val="center"/>
        </w:tcPr>
        <w:p w14:paraId="130CF900" w14:textId="77777777" w:rsidR="001E67E0" w:rsidRDefault="00000000">
          <w:pPr>
            <w:pBdr>
              <w:top w:val="nil"/>
              <w:left w:val="nil"/>
              <w:bottom w:val="nil"/>
              <w:right w:val="nil"/>
              <w:between w:val="nil"/>
            </w:pBdr>
            <w:tabs>
              <w:tab w:val="center" w:pos="4680"/>
              <w:tab w:val="right" w:pos="9360"/>
            </w:tabs>
            <w:spacing w:before="0" w:after="0"/>
            <w:jc w:val="left"/>
            <w:rPr>
              <w:rFonts w:eastAsia="Calibri" w:cs="Calibri"/>
              <w:smallCaps/>
              <w:color w:val="FFFFFF"/>
            </w:rPr>
          </w:pPr>
          <w:r>
            <w:rPr>
              <w:rFonts w:ascii="Trebuchet MS" w:eastAsia="Trebuchet MS" w:hAnsi="Trebuchet MS" w:cs="Trebuchet MS"/>
              <w:color w:val="FFFFFF"/>
              <w:sz w:val="20"/>
              <w:szCs w:val="20"/>
            </w:rPr>
            <w:t>implementation.fpg.unc.edu</w:t>
          </w:r>
        </w:p>
      </w:tc>
    </w:tr>
  </w:tbl>
  <w:p w14:paraId="21C59CD2" w14:textId="77777777" w:rsidR="001E67E0" w:rsidRDefault="001E67E0">
    <w:pPr>
      <w:pBdr>
        <w:top w:val="nil"/>
        <w:left w:val="nil"/>
        <w:bottom w:val="nil"/>
        <w:right w:val="nil"/>
        <w:between w:val="nil"/>
      </w:pBdr>
      <w:tabs>
        <w:tab w:val="center" w:pos="4680"/>
        <w:tab w:val="right" w:pos="9360"/>
      </w:tabs>
      <w:spacing w:before="0" w:after="0"/>
      <w:jc w:val="left"/>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C7E5" w14:textId="77777777" w:rsidR="006A34CF" w:rsidRDefault="006A34CF">
      <w:pPr>
        <w:spacing w:before="0" w:after="0"/>
      </w:pPr>
      <w:r>
        <w:separator/>
      </w:r>
    </w:p>
  </w:footnote>
  <w:footnote w:type="continuationSeparator" w:id="0">
    <w:p w14:paraId="758841EE" w14:textId="77777777" w:rsidR="006A34CF" w:rsidRDefault="006A34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751C" w14:textId="77777777" w:rsidR="001E67E0" w:rsidRDefault="001E67E0">
    <w:pPr>
      <w:widowControl w:val="0"/>
      <w:spacing w:before="0" w:after="0" w:line="276" w:lineRule="auto"/>
      <w:rPr>
        <w:rFonts w:ascii="Arial" w:eastAsia="Arial" w:hAnsi="Arial" w:cs="Arial"/>
        <w:sz w:val="22"/>
        <w:szCs w:val="22"/>
      </w:rPr>
    </w:pPr>
  </w:p>
  <w:tbl>
    <w:tblPr>
      <w:tblStyle w:val="a2"/>
      <w:tblW w:w="13950" w:type="dxa"/>
      <w:tblInd w:w="230"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9885"/>
      <w:gridCol w:w="4065"/>
    </w:tblGrid>
    <w:tr w:rsidR="001E67E0" w14:paraId="42F03B89" w14:textId="77777777">
      <w:trPr>
        <w:trHeight w:val="881"/>
      </w:trPr>
      <w:tc>
        <w:tcPr>
          <w:tcW w:w="988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391B89A4" w14:textId="77777777" w:rsidR="001E67E0" w:rsidRDefault="00000000">
          <w:pPr>
            <w:pStyle w:val="Title"/>
            <w:jc w:val="left"/>
            <w:rPr>
              <w:sz w:val="28"/>
              <w:szCs w:val="28"/>
            </w:rPr>
          </w:pPr>
          <w:r>
            <w:rPr>
              <w:sz w:val="28"/>
              <w:szCs w:val="28"/>
            </w:rPr>
            <w:t>Tool: Usable Innovation</w:t>
          </w:r>
        </w:p>
        <w:p w14:paraId="707C2394" w14:textId="77777777" w:rsidR="001E67E0" w:rsidRDefault="00000000">
          <w:pPr>
            <w:pStyle w:val="Title"/>
            <w:jc w:val="left"/>
            <w:rPr>
              <w:i/>
              <w:sz w:val="40"/>
              <w:szCs w:val="40"/>
            </w:rPr>
          </w:pPr>
          <w:r>
            <w:rPr>
              <w:sz w:val="32"/>
              <w:szCs w:val="32"/>
            </w:rPr>
            <w:t>Practice Profile Planning Tool</w:t>
          </w:r>
        </w:p>
      </w:tc>
      <w:tc>
        <w:tcPr>
          <w:tcW w:w="4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DDE26" w14:textId="77777777" w:rsidR="001E67E0" w:rsidRDefault="00000000">
          <w:pPr>
            <w:pStyle w:val="Title"/>
            <w:rPr>
              <w:b/>
            </w:rPr>
          </w:pPr>
          <w:r>
            <w:rPr>
              <w:b/>
              <w:noProof/>
            </w:rPr>
            <w:drawing>
              <wp:inline distT="114300" distB="114300" distL="114300" distR="114300" wp14:anchorId="3BB5EAD7" wp14:editId="4CFF1A9D">
                <wp:extent cx="2029380" cy="27197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9380" cy="271979"/>
                        </a:xfrm>
                        <a:prstGeom prst="rect">
                          <a:avLst/>
                        </a:prstGeom>
                        <a:ln/>
                      </pic:spPr>
                    </pic:pic>
                  </a:graphicData>
                </a:graphic>
              </wp:inline>
            </w:drawing>
          </w:r>
        </w:p>
      </w:tc>
    </w:tr>
  </w:tbl>
  <w:p w14:paraId="1528C78C" w14:textId="77777777" w:rsidR="001E67E0" w:rsidRDefault="001E6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29C"/>
    <w:multiLevelType w:val="multilevel"/>
    <w:tmpl w:val="7B98DB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982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E0"/>
    <w:rsid w:val="001E67E0"/>
    <w:rsid w:val="00481018"/>
    <w:rsid w:val="006A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B027"/>
  <w15:docId w15:val="{B535428B-D8BF-45D9-8D73-7BA6A818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6"/>
        <w:szCs w:val="16"/>
        <w:lang w:val="en-US"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pPr>
      <w:spacing w:before="40" w:after="120" w:line="240" w:lineRule="auto"/>
    </w:pPr>
    <w:rPr>
      <w:rFonts w:eastAsia="Times New Roman" w:cs="Times New Roman"/>
      <w:sz w:val="24"/>
      <w:szCs w:val="24"/>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semiHidden/>
    <w:unhideWhenUsed/>
    <w:qFormat/>
    <w:rsid w:val="00B512A9"/>
    <w:pPr>
      <w:keepNext/>
      <w:keepLines/>
      <w:pBdr>
        <w:top w:val="single" w:sz="4" w:space="1" w:color="auto"/>
      </w:pBdr>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semiHidden/>
    <w:unhideWhenUsed/>
    <w:qFormat/>
    <w:rsid w:val="00B512A9"/>
    <w:pPr>
      <w:keepNext/>
      <w:keepLines/>
      <w:spacing w:after="0"/>
      <w:outlineLvl w:val="2"/>
    </w:pPr>
    <w:rPr>
      <w:rFonts w:asciiTheme="majorHAnsi" w:eastAsiaTheme="majorEastAsia" w:hAnsiTheme="majorHAnsi" w:cstheme="majorBidi"/>
      <w:color w:val="5F000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line="240" w:lineRule="auto"/>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714016"/>
    <w:pPr>
      <w:numPr>
        <w:numId w:val="1"/>
      </w:numPr>
      <w:spacing w:before="0" w:after="0" w:line="360" w:lineRule="auto"/>
    </w:pPr>
    <w:rPr>
      <w:rFonts w:eastAsia="Calibri"/>
      <w:sz w:val="22"/>
      <w:szCs w:val="22"/>
    </w:rPr>
  </w:style>
  <w:style w:type="character" w:customStyle="1" w:styleId="Heading2Char">
    <w:name w:val="Heading 2 Char"/>
    <w:basedOn w:val="DefaultParagraphFont"/>
    <w:link w:val="Heading2"/>
    <w:uiPriority w:val="9"/>
    <w:rsid w:val="00B512A9"/>
    <w:rPr>
      <w:rFonts w:ascii="Trebuchet MS" w:eastAsiaTheme="majorEastAsia" w:hAnsi="Trebuchet MS" w:cstheme="majorBidi"/>
      <w:b/>
      <w:bCs/>
      <w:color w:val="0082B3" w:themeColor="accent2"/>
      <w:sz w:val="32"/>
      <w:szCs w:val="26"/>
    </w:rPr>
  </w:style>
  <w:style w:type="table" w:customStyle="1" w:styleId="TableGrid1">
    <w:name w:val="Table Grid1"/>
    <w:basedOn w:val="TableNormal"/>
    <w:next w:val="TableGrid"/>
    <w:uiPriority w:val="59"/>
    <w:rsid w:val="00F879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7939"/>
    <w:pPr>
      <w:spacing w:before="0" w:after="0"/>
    </w:pPr>
    <w:rPr>
      <w:sz w:val="20"/>
      <w:szCs w:val="20"/>
    </w:rPr>
  </w:style>
  <w:style w:type="character" w:customStyle="1" w:styleId="FootnoteTextChar">
    <w:name w:val="Footnote Text Char"/>
    <w:basedOn w:val="DefaultParagraphFont"/>
    <w:link w:val="FootnoteText"/>
    <w:uiPriority w:val="99"/>
    <w:semiHidden/>
    <w:rsid w:val="00F8793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87939"/>
    <w:rPr>
      <w:vertAlign w:val="superscript"/>
    </w:rPr>
  </w:style>
  <w:style w:type="paragraph" w:styleId="EndnoteText">
    <w:name w:val="endnote text"/>
    <w:basedOn w:val="Normal"/>
    <w:link w:val="EndnoteTextChar"/>
    <w:uiPriority w:val="99"/>
    <w:semiHidden/>
    <w:unhideWhenUsed/>
    <w:rsid w:val="00F87939"/>
    <w:pPr>
      <w:spacing w:before="0" w:after="0"/>
    </w:pPr>
    <w:rPr>
      <w:sz w:val="20"/>
      <w:szCs w:val="20"/>
    </w:rPr>
  </w:style>
  <w:style w:type="character" w:customStyle="1" w:styleId="EndnoteTextChar">
    <w:name w:val="Endnote Text Char"/>
    <w:basedOn w:val="DefaultParagraphFont"/>
    <w:link w:val="EndnoteText"/>
    <w:uiPriority w:val="99"/>
    <w:semiHidden/>
    <w:rsid w:val="00F8793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F87939"/>
    <w:rPr>
      <w:vertAlign w:val="superscript"/>
    </w:rPr>
  </w:style>
  <w:style w:type="character" w:styleId="PageNumber">
    <w:name w:val="page number"/>
    <w:basedOn w:val="DefaultParagraphFont"/>
    <w:uiPriority w:val="99"/>
    <w:semiHidden/>
    <w:unhideWhenUsed/>
    <w:rsid w:val="00B512A9"/>
  </w:style>
  <w:style w:type="character" w:customStyle="1" w:styleId="Heading3Char">
    <w:name w:val="Heading 3 Char"/>
    <w:basedOn w:val="DefaultParagraphFont"/>
    <w:link w:val="Heading3"/>
    <w:uiPriority w:val="9"/>
    <w:rsid w:val="00B512A9"/>
    <w:rPr>
      <w:rFonts w:asciiTheme="majorHAnsi" w:eastAsiaTheme="majorEastAsia" w:hAnsiTheme="majorHAnsi" w:cstheme="majorBidi"/>
      <w:color w:val="5F0000" w:themeColor="accent1" w:themeShade="7F"/>
      <w:sz w:val="24"/>
      <w:szCs w:val="24"/>
    </w:rPr>
  </w:style>
  <w:style w:type="table" w:customStyle="1" w:styleId="GridTable4-Accent11">
    <w:name w:val="Grid Table 4 - Accent 11"/>
    <w:basedOn w:val="TableNormal"/>
    <w:uiPriority w:val="49"/>
    <w:rsid w:val="00B512A9"/>
    <w:pPr>
      <w:spacing w:after="0" w:line="240" w:lineRule="auto"/>
    </w:p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color w:val="FFFFFF" w:themeColor="background1"/>
      </w:rPr>
      <w:tblPr/>
      <w:tcPr>
        <w:tcBorders>
          <w:top w:val="single" w:sz="4" w:space="0" w:color="C00000" w:themeColor="accent1"/>
          <w:left w:val="single" w:sz="4" w:space="0" w:color="C00000" w:themeColor="accent1"/>
          <w:bottom w:val="single" w:sz="4" w:space="0" w:color="C00000" w:themeColor="accent1"/>
          <w:right w:val="single" w:sz="4" w:space="0" w:color="C00000" w:themeColor="accent1"/>
          <w:insideH w:val="nil"/>
          <w:insideV w:val="nil"/>
        </w:tcBorders>
        <w:shd w:val="clear" w:color="auto" w:fill="C00000" w:themeFill="accent1"/>
      </w:tcPr>
    </w:tblStylePr>
    <w:tblStylePr w:type="lastRow">
      <w:rPr>
        <w:b/>
        <w:bCs/>
      </w:rPr>
      <w:tblPr/>
      <w:tcPr>
        <w:tcBorders>
          <w:top w:val="double" w:sz="4" w:space="0" w:color="C00000" w:themeColor="accent1"/>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character" w:styleId="PlaceholderText">
    <w:name w:val="Placeholder Text"/>
    <w:basedOn w:val="DefaultParagraphFont"/>
    <w:uiPriority w:val="99"/>
    <w:semiHidden/>
    <w:rsid w:val="00B512A9"/>
    <w:rPr>
      <w:color w:val="808080"/>
    </w:rPr>
  </w:style>
  <w:style w:type="paragraph" w:customStyle="1" w:styleId="Highlight">
    <w:name w:val="Highlight"/>
    <w:basedOn w:val="Normal"/>
    <w:link w:val="HighlightChar"/>
    <w:qFormat/>
    <w:rsid w:val="00D92E50"/>
    <w:pPr>
      <w:pBdr>
        <w:top w:val="single" w:sz="48" w:space="1" w:color="F8F2E0" w:themeColor="accent4" w:themeTint="33"/>
        <w:left w:val="single" w:sz="48" w:space="4" w:color="F8F2E0" w:themeColor="accent4" w:themeTint="33"/>
        <w:bottom w:val="single" w:sz="48" w:space="1" w:color="F8F2E0" w:themeColor="accent4" w:themeTint="33"/>
        <w:right w:val="single" w:sz="48" w:space="4" w:color="F8F2E0" w:themeColor="accent4" w:themeTint="33"/>
      </w:pBdr>
      <w:shd w:val="clear" w:color="auto" w:fill="F8F2E0" w:themeFill="accent4" w:themeFillTint="33"/>
      <w:spacing w:before="0" w:after="200" w:line="276" w:lineRule="auto"/>
      <w:ind w:left="288" w:right="288"/>
    </w:pPr>
    <w:rPr>
      <w:rFonts w:asciiTheme="minorHAnsi" w:eastAsiaTheme="minorHAnsi" w:hAnsiTheme="minorHAnsi" w:cstheme="minorBidi"/>
      <w:sz w:val="22"/>
      <w:szCs w:val="22"/>
    </w:rPr>
  </w:style>
  <w:style w:type="character" w:customStyle="1" w:styleId="HighlightChar">
    <w:name w:val="Highlight Char"/>
    <w:basedOn w:val="DefaultParagraphFont"/>
    <w:link w:val="Highlight"/>
    <w:rsid w:val="00D92E50"/>
    <w:rPr>
      <w:shd w:val="clear" w:color="auto" w:fill="F8F2E0" w:themeFill="accent4" w:themeFillTint="33"/>
    </w:rPr>
  </w:style>
  <w:style w:type="character" w:styleId="CommentReference">
    <w:name w:val="annotation reference"/>
    <w:basedOn w:val="DefaultParagraphFont"/>
    <w:uiPriority w:val="99"/>
    <w:semiHidden/>
    <w:unhideWhenUsed/>
    <w:rsid w:val="002D0348"/>
    <w:rPr>
      <w:sz w:val="18"/>
      <w:szCs w:val="18"/>
    </w:rPr>
  </w:style>
  <w:style w:type="paragraph" w:styleId="CommentText">
    <w:name w:val="annotation text"/>
    <w:basedOn w:val="Normal"/>
    <w:link w:val="CommentTextChar"/>
    <w:uiPriority w:val="99"/>
    <w:unhideWhenUsed/>
    <w:rsid w:val="002D0348"/>
  </w:style>
  <w:style w:type="character" w:customStyle="1" w:styleId="CommentTextChar">
    <w:name w:val="Comment Text Char"/>
    <w:basedOn w:val="DefaultParagraphFont"/>
    <w:link w:val="CommentText"/>
    <w:uiPriority w:val="99"/>
    <w:rsid w:val="002D0348"/>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D0348"/>
    <w:rPr>
      <w:b/>
      <w:bCs/>
      <w:sz w:val="20"/>
      <w:szCs w:val="20"/>
    </w:rPr>
  </w:style>
  <w:style w:type="character" w:customStyle="1" w:styleId="CommentSubjectChar">
    <w:name w:val="Comment Subject Char"/>
    <w:basedOn w:val="CommentTextChar"/>
    <w:link w:val="CommentSubject"/>
    <w:uiPriority w:val="99"/>
    <w:semiHidden/>
    <w:rsid w:val="002D0348"/>
    <w:rPr>
      <w:rFonts w:ascii="Calibri" w:eastAsia="Times New Roman" w:hAnsi="Calibri" w:cs="Times New Roman"/>
      <w:b/>
      <w:bCs/>
      <w:sz w:val="20"/>
      <w:szCs w:val="20"/>
    </w:rPr>
  </w:style>
  <w:style w:type="character" w:styleId="Hyperlink">
    <w:name w:val="Hyperlink"/>
    <w:basedOn w:val="DefaultParagraphFont"/>
    <w:uiPriority w:val="99"/>
    <w:unhideWhenUsed/>
    <w:rsid w:val="00D161DB"/>
    <w:rPr>
      <w:color w:val="0082B3" w:themeColor="hyperlink"/>
      <w:u w:val="single"/>
    </w:rPr>
  </w:style>
  <w:style w:type="table" w:styleId="LightList-Accent2">
    <w:name w:val="Light List Accent 2"/>
    <w:basedOn w:val="TableNormal"/>
    <w:uiPriority w:val="61"/>
    <w:rsid w:val="005B3311"/>
    <w:pPr>
      <w:spacing w:after="0" w:line="240" w:lineRule="auto"/>
    </w:pPr>
    <w:tblPr>
      <w:tblStyleRowBandSize w:val="1"/>
      <w:tblStyleColBandSize w:val="1"/>
      <w:tblBorders>
        <w:top w:val="single" w:sz="8" w:space="0" w:color="0082B3" w:themeColor="accent2"/>
        <w:left w:val="single" w:sz="8" w:space="0" w:color="0082B3" w:themeColor="accent2"/>
        <w:bottom w:val="single" w:sz="8" w:space="0" w:color="0082B3" w:themeColor="accent2"/>
        <w:right w:val="single" w:sz="8" w:space="0" w:color="0082B3" w:themeColor="accent2"/>
      </w:tblBorders>
    </w:tblPr>
    <w:tblStylePr w:type="firstRow">
      <w:pPr>
        <w:spacing w:before="0" w:after="0" w:line="240" w:lineRule="auto"/>
      </w:pPr>
      <w:rPr>
        <w:b/>
        <w:bCs/>
        <w:color w:val="FFFFFF" w:themeColor="background1"/>
      </w:rPr>
      <w:tblPr/>
      <w:tcPr>
        <w:shd w:val="clear" w:color="auto" w:fill="0082B3" w:themeFill="accent2"/>
      </w:tcPr>
    </w:tblStylePr>
    <w:tblStylePr w:type="lastRow">
      <w:pPr>
        <w:spacing w:before="0" w:after="0" w:line="240" w:lineRule="auto"/>
      </w:pPr>
      <w:rPr>
        <w:b/>
        <w:bCs/>
      </w:rPr>
      <w:tblPr/>
      <w:tcPr>
        <w:tcBorders>
          <w:top w:val="double" w:sz="6" w:space="0" w:color="0082B3" w:themeColor="accent2"/>
          <w:left w:val="single" w:sz="8" w:space="0" w:color="0082B3" w:themeColor="accent2"/>
          <w:bottom w:val="single" w:sz="8" w:space="0" w:color="0082B3" w:themeColor="accent2"/>
          <w:right w:val="single" w:sz="8" w:space="0" w:color="0082B3" w:themeColor="accent2"/>
        </w:tcBorders>
      </w:tcPr>
    </w:tblStylePr>
    <w:tblStylePr w:type="firstCol">
      <w:rPr>
        <w:b/>
        <w:bCs/>
      </w:rPr>
    </w:tblStylePr>
    <w:tblStylePr w:type="lastCol">
      <w:rPr>
        <w:b/>
        <w:bCs/>
      </w:rPr>
    </w:tblStylePr>
    <w:tblStylePr w:type="band1Vert">
      <w:tblPr/>
      <w:tcPr>
        <w:tcBorders>
          <w:top w:val="single" w:sz="8" w:space="0" w:color="0082B3" w:themeColor="accent2"/>
          <w:left w:val="single" w:sz="8" w:space="0" w:color="0082B3" w:themeColor="accent2"/>
          <w:bottom w:val="single" w:sz="8" w:space="0" w:color="0082B3" w:themeColor="accent2"/>
          <w:right w:val="single" w:sz="8" w:space="0" w:color="0082B3" w:themeColor="accent2"/>
        </w:tcBorders>
      </w:tcPr>
    </w:tblStylePr>
    <w:tblStylePr w:type="band1Horz">
      <w:tblPr/>
      <w:tcPr>
        <w:tcBorders>
          <w:top w:val="single" w:sz="8" w:space="0" w:color="0082B3" w:themeColor="accent2"/>
          <w:left w:val="single" w:sz="8" w:space="0" w:color="0082B3" w:themeColor="accent2"/>
          <w:bottom w:val="single" w:sz="8" w:space="0" w:color="0082B3" w:themeColor="accent2"/>
          <w:right w:val="single" w:sz="8" w:space="0" w:color="0082B3" w:themeColor="accent2"/>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pPr>
        <w:spacing w:before="0" w:after="0" w:line="240" w:lineRule="auto"/>
      </w:pPr>
      <w:rPr>
        <w:b/>
        <w:color w:val="FFFFFF"/>
      </w:rPr>
      <w:tblPr/>
      <w:tcPr>
        <w:shd w:val="clear" w:color="auto" w:fill="0082B3"/>
      </w:tcPr>
    </w:tblStylePr>
    <w:tblStylePr w:type="lastRow">
      <w:pPr>
        <w:spacing w:before="0" w:after="0" w:line="240" w:lineRule="auto"/>
      </w:pPr>
      <w:rPr>
        <w:b/>
      </w:rPr>
      <w:tblPr/>
      <w:tcPr>
        <w:tcBorders>
          <w:top w:val="single" w:sz="6" w:space="0" w:color="0082B3"/>
          <w:left w:val="single" w:sz="8" w:space="0" w:color="0082B3"/>
          <w:bottom w:val="single" w:sz="8" w:space="0" w:color="0082B3"/>
          <w:right w:val="single" w:sz="8" w:space="0" w:color="0082B3"/>
        </w:tcBorders>
      </w:tcPr>
    </w:tblStylePr>
    <w:tblStylePr w:type="firstCol">
      <w:rPr>
        <w:b/>
      </w:rPr>
    </w:tblStylePr>
    <w:tblStylePr w:type="lastCol">
      <w:rPr>
        <w:b/>
      </w:rPr>
    </w:tblStylePr>
    <w:tblStylePr w:type="band1Vert">
      <w:tblPr/>
      <w:tcPr>
        <w:tcBorders>
          <w:top w:val="single" w:sz="8" w:space="0" w:color="0082B3"/>
          <w:left w:val="single" w:sz="8" w:space="0" w:color="0082B3"/>
          <w:bottom w:val="single" w:sz="8" w:space="0" w:color="0082B3"/>
          <w:right w:val="single" w:sz="8" w:space="0" w:color="0082B3"/>
        </w:tcBorders>
      </w:tcPr>
    </w:tblStylePr>
    <w:tblStylePr w:type="band1Horz">
      <w:tblPr/>
      <w:tcPr>
        <w:tcBorders>
          <w:top w:val="single" w:sz="8" w:space="0" w:color="0082B3"/>
          <w:left w:val="single" w:sz="8" w:space="0" w:color="0082B3"/>
          <w:bottom w:val="single" w:sz="8" w:space="0" w:color="0082B3"/>
          <w:right w:val="single" w:sz="8" w:space="0" w:color="0082B3"/>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Hub-Lesson">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0082B3"/>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xKMT1iynN1iL4eP6QR9wUO8O7g==">AMUW2mUzTDmE8MLSE9pNDB2ZGmNRiEPWeyK3Pkp9d7MQWv52+DQKuuXebnH0NipdX1RKbbizRCiYSrXgFMTOeh8ZVE51JsFK9r9ltj4OKWct+eYhuVOdqC/DPrJvSPPQbHWc/1aS879ObUyo2zfnXJ+CdIWnH5/7zfwG7JZ6hu8LprV2JVUlfTnixwjRy3gsk/eHXsNO1Q2atl7ngBO3wpAdl3CpOejgSo/BDl2yGpZxzsFeh3S23mOteKQGHmh8R/vVY0Dqi0CgOtY9tm9u5p+Qq2SxEmHcLMexVebjLyXSvFOpkxWH7FX1ZmzA5sgXT8Jxryj97QAgbvclqkh6DuuAnP8vSqUj2q9cB11AyyWxZjnIiiBngjia5edh0RAUzpCo+qZYBhMAKCuNBGCjcqB2SOfsMm9m95DD4KiSACXyN7GFlGy4F8xMj1PFPF2LNPF3q9tti5IlR1XmhSnszQZYQKdYMcJ5hkFhIrgAzLNLNkbBkKapCeyRVy8n3rtAL9ZsdSTkTNN4qXDfijUhppPcH5cW9Gc9qiKo8J8BJAWYFltSzkolC5cKdk4Xe15Hocr8RBI3dYo4dDx6s+ivMObPMFejf7glO8pQ1G4DY1rpuqQdT91NmTUPVSwsmPbGB28MPR8lw3hY41PH0rEnuhmqEj+iXps4LYubyY2k/m+veGgM5AS6izoVatf9lqDWGeDo/Fk1FxmCtkbIiVZK0dqhysrHVjpn3o2evOPXNH3DVjqDIT6CeuNxiFKyamOVSij0FvPmRgviVSXw4tGFdojpmMuDmCTTQwWIhxEFaR9wzj6Lb3rq7+v6Nsgf+24NeKcMMET5M25ETN0d/l+AJvXDfY4sqkC6f1JbeGEa4M2Og9BAawhMqPBB/4MBIJfACnfLUv5T4if/vowLRdVTU5QtuLT2sjTPRP/JCbwcbMpaL8RehKNCQpPfvAdWhMaNaIpAEcF79mufJn92dzysEVxHydXgWod5kzmnJXEfDcpKntZq57S/Jk4i79Hia/ai7H5/U5ieexkz3Gs4tW1iLYvVPmYWW4ra/badkneyW/+uFtXBLmGIBH6LlAZPOFrvhiTKR7qStvGZnEH1mjjwfHa3aWOrEWR3sH7SBYt43fQOP9c2gTSvwkAnQ4CihiR5SXRiCJr6jFCQvnlxPCW1oaDvmxcHH2MPPCb/vPhmoiE4IJW9wldui9mIEVqIjsez2sgIGSShCIi3+g73kAhUiSkcUc1Tk5sqS6v3Xfbk7z3XPBW9tNt6HKgR4ChAssxfg9IRX1Qqso1bTLOfcfy6EsXcW3cO8Kf6sYOQEvgdrInykmGd9rpAObxFYhpbRhJJ6oDwYBy+kpDwxrbCx6T+q7kwx+bvmZvPdTs/Mq8zFt0QKVrZGOpPQMjbRuDabLyfTtyglRAiz7roB9Vb8rpcm5+drnj56XzRRuiW7gvWXBGxVxpFXUePlgMpLOcUvkkbbmxp0jXNKiwpk+e440W8WGK6ap0D14ZwaW0wW2NT1PxKuoUa+y1SiEg3oXTsz3mf7TclOhWz1yK1ANSK0dr0lmcVWCMk7f0IAreAIjBujoQKjyu12lf+o094r6W04COmQQnZWmeKYBrYz9Vw18KKgReWXiz9GKjke8faf54unxkLwSpKCXJshGuj5B0Lm+wFNlXAhZbeiE8fuXvCC9XcrLe/zb+PDKBe4GxZKHjkPWQl3h0t0QMUch/FVLWskQ/IWILcwfv8ZLEnkRB7cs8HAYj/WZgqN6rhwoQ6I50irP5zhRL0dPBzl1u1HAiNSW2cv+0KtPl4sFTD4cEgG4m5Rs/7MELIqaStoZE5FuLc+DkUDGRMu4bV4i1PsE4FV0am/+77hzE1YpFWI+QPRQmlT1V/6EatceSIVQ0KzdZTwlLgcFLiITAElb7cIJdu/C3yz3YvPyaSiBwzHznoWb0cxKNtCgs+WKotgJF0EysgHQJZcmT2M+U/22Ntn5/NxPktAM/P13jnjo6zSIND3i7DeDr6q8oJGke5N19T/8UfkjzluSnCxY2ZLDh/rw0KsUlyKP8zVssxRCL+LH8s3Bn71oJhQ4zEclZ89/zkqJCz7mLYhXN7MS2AoEvGxnHZL7vdevqmTPU3kxP1rAhSxgCYcCQEG/qrwflsgRlMtFr3/XMgHOk6yF3pjrW2qoQPV5ubPnLxEGOmXOYG9jRA1YP0OBm9lPaQJSjiaPCQrtttIEApJjnot7X6TpjSPQN9EzzVtQCQq79HfDPI59EGQF6i9NmcaJ7Iga42/AKnc3ZEEYRTKI6joyuw8bsjkdQWCYo2Ra5gQs1fo6XyjzsFtu0VFZF2YnQya2+1W3WfoLtwwlBcHeuiH1WmIjNNN05rY6ftP5iUmcJPJSijb5ujn8DuVdUJ15SnPzcD33k4Los0z5+k0eg2PEdbhgyEcn8JZjlWEPKlaoHlxUKD5aGlzBh/1fOqUfOk5pKg0/rluhGOVzTwdCcaN1YfTELCGk3G7I1hdR6yyWcrl3/ZBR4PjdUAyMKjqUc/mbidH7kxTwR4W63InRZkn38IS1Or2GOHJMBTzr/aH/cRWiHz00D/7KQGI6Xc2zDU5LPJjo/UbF15bIUejU/t2qWFI3hZfyQcLd4An44ZozwquDruw0lTVX7cCf7Mo1Upz+jlIsGMTTsduXBIjZFV8cKImaZu8tCMu2J6EkVb4/kiUWMDpavxKaWp8TGyM5YikIg0ydeJdBeXIktpN565v6zz9HNakRc9bCJfw+bW5xKMPXDJaHVlD8Q0no4x9WZiZ5RQGq894DhjyiOGvQQGghShi/GOPFB48Pp0zJAk93KMDfSvq20ZGznKTNXLSAhZWM2aN1t9dAU9xfqW6wjVx1veJZtb4A4GmbCSelPpIB6keXvO5/2Z5tc9elg//wXmruKu60QFHKXgobCfMwgk6U7zu+0igDxevoo8FzmWVyRmbWaeE9r2HC5Ke3ZRaxLb19nYfPDHBhHmXUaoF2wiNK4SIfIUCMyCMqAlpgJQvq7g0Hfx5OOzeziHPat1f33+CAz8/8EWFfn7sY0Kb0O39zTwgiKhr67q+xFqJjQC9NZ6en8ZvM+E1MTXae7qAnIxe9x0e85eGTp33exgdsNlEBOH2xkXCJJUJ3yotZfqrYf5OCEoXs7aV4zV8Ym0zyGefyo6twilw/Hob1CUAkSecm7VOqUvwDXzIViZNf/DM5qC8Beol1YVCiIxD7RKAAoGFW3TOXNsM9sDmMT6nInmVSyb1PkucPvFZyMLqjhGUHwo8UyMp2Uzu8OTUkCiObdEP5c20i6lrfr03cOGIjhCpN4LZrQHrcw+gYmUiTV0yp9z8CvIq3rpOLNZUOANUXLolV7JANMATqZXLXI5zT4pDwcBx/GRgdQ1tJ8D7MvUfEOfuS09RTRuKytVEO7g0RMlacQB9SjAEJclR5D+jPkQTu+L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2023-04-26T14:49:00Z</dcterms:created>
  <dcterms:modified xsi:type="dcterms:W3CDTF">2023-04-26T14:49:00Z</dcterms:modified>
</cp:coreProperties>
</file>