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B0D8" w14:textId="77777777" w:rsidR="00D50BFD" w:rsidRDefault="00D50BFD">
      <w:pPr>
        <w:widowControl w:val="0"/>
      </w:pPr>
    </w:p>
    <w:tbl>
      <w:tblPr>
        <w:tblStyle w:val="a"/>
        <w:tblW w:w="10995" w:type="dxa"/>
        <w:tblInd w:w="-855" w:type="dxa"/>
        <w:tblBorders>
          <w:top w:val="nil"/>
          <w:left w:val="nil"/>
          <w:bottom w:val="single" w:sz="8" w:space="0" w:color="C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95"/>
      </w:tblGrid>
      <w:tr w:rsidR="00D50BFD" w14:paraId="7C05BE47" w14:textId="77777777">
        <w:tc>
          <w:tcPr>
            <w:tcW w:w="10995" w:type="dxa"/>
            <w:tcBorders>
              <w:top w:val="nil"/>
              <w:bottom w:val="nil"/>
            </w:tcBorders>
            <w:shd w:val="clear" w:color="auto" w:fill="F8F2E0"/>
          </w:tcPr>
          <w:p w14:paraId="35E70DB6" w14:textId="77777777" w:rsidR="00D50BFD" w:rsidRDefault="00000000">
            <w:pPr>
              <w:spacing w:before="40" w:line="240" w:lineRule="auto"/>
              <w:rPr>
                <w:rFonts w:ascii="Calibri" w:eastAsia="Calibri" w:hAnsi="Calibri" w:cs="Calibri"/>
                <w:color w:val="2F2F2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F2F2F"/>
                <w:sz w:val="24"/>
                <w:szCs w:val="24"/>
              </w:rPr>
              <w:t>For more information on capacity building activities, please see these learning resources.</w:t>
            </w:r>
          </w:p>
        </w:tc>
      </w:tr>
    </w:tbl>
    <w:p w14:paraId="0361AEB8" w14:textId="77777777" w:rsidR="00D50BFD" w:rsidRDefault="00D50BF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1040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5520"/>
      </w:tblGrid>
      <w:tr w:rsidR="00D50BFD" w14:paraId="71665622" w14:textId="77777777">
        <w:tc>
          <w:tcPr>
            <w:tcW w:w="5520" w:type="dxa"/>
            <w:shd w:val="clear" w:color="auto" w:fill="00618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854F" w14:textId="77777777" w:rsidR="00D50BFD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Capacity Building Activity </w:t>
            </w:r>
          </w:p>
        </w:tc>
        <w:tc>
          <w:tcPr>
            <w:tcW w:w="5520" w:type="dxa"/>
            <w:shd w:val="clear" w:color="auto" w:fill="00618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17F2" w14:textId="77777777" w:rsidR="00D50BFD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Learning Modules and Resources </w:t>
            </w:r>
          </w:p>
        </w:tc>
      </w:tr>
      <w:tr w:rsidR="00D50BFD" w14:paraId="5F359B76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5188" w14:textId="77777777" w:rsidR="00D50BFD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Prepare implementation partners for necessary changes and/or model the change that will be implemented prior to implementation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BFEC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7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A Tale of Two States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3ADEA1C4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Drivers Tip Sheets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</w:p>
          <w:p w14:paraId="09F0BEAA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Getting Ready for Change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</w:p>
          <w:p w14:paraId="73CF26CB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Readiness for Change Brief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</w:p>
          <w:p w14:paraId="6D102BEF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Exploring the Implementation Landscape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</w:p>
          <w:p w14:paraId="20726923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Leveraging Change in State Education Systems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</w:p>
          <w:p w14:paraId="60381A30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Competency Driver Videos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</w:p>
          <w:p w14:paraId="63517F4C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Implementation Driver Videos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488D7AF9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Integrated &amp; Compensatory Videos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</w:p>
          <w:p w14:paraId="76B37FAA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6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Implementation Drivers as an Engine for Change</w:t>
              </w:r>
            </w:hyperlink>
          </w:p>
        </w:tc>
      </w:tr>
      <w:tr w:rsidR="00D50BFD" w14:paraId="651D69DB" w14:textId="77777777">
        <w:tc>
          <w:tcPr>
            <w:tcW w:w="5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DDB4" w14:textId="77777777" w:rsidR="00D50BFD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Provide or secure training needed for implementation partners to gain capacity, and connect with others who can provide training, modeling, and coaching</w:t>
            </w:r>
          </w:p>
        </w:tc>
        <w:tc>
          <w:tcPr>
            <w:tcW w:w="5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0214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7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Training Plan Template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</w:p>
          <w:p w14:paraId="27EBA23E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Coaching System Worksheet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</w:p>
          <w:p w14:paraId="15BBEA6F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9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Coaching Service Plan</w:t>
              </w:r>
            </w:hyperlink>
          </w:p>
        </w:tc>
      </w:tr>
      <w:tr w:rsidR="00D50BFD" w14:paraId="689BC63D" w14:textId="77777777"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E5FA" w14:textId="77777777" w:rsidR="00D50BFD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Model the use of knowledge, skills, behaviors, attitudes, and practices for implementation partners to demonstrate application in a real-world setting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857B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color w:val="1155CC"/>
                <w:sz w:val="24"/>
                <w:szCs w:val="24"/>
                <w:u w:val="single"/>
              </w:rPr>
            </w:pPr>
            <w:hyperlink r:id="rId2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Coaching Overview Interactive Lesson</w:t>
              </w:r>
            </w:hyperlink>
            <w:r>
              <w:rPr>
                <w:rFonts w:ascii="Calibri" w:eastAsia="Calibri" w:hAnsi="Calibri" w:cs="Calibri"/>
                <w:color w:val="1155CC"/>
                <w:sz w:val="24"/>
                <w:szCs w:val="24"/>
                <w:u w:val="single"/>
              </w:rPr>
              <w:t xml:space="preserve">; </w:t>
            </w:r>
          </w:p>
          <w:p w14:paraId="51269B78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color w:val="1155CC"/>
                <w:sz w:val="24"/>
                <w:szCs w:val="24"/>
                <w:u w:val="single"/>
              </w:rPr>
            </w:pPr>
            <w:hyperlink r:id="rId21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Coaching Behavior Interactive Lesson</w:t>
              </w:r>
            </w:hyperlink>
            <w:r>
              <w:rPr>
                <w:rFonts w:ascii="Calibri" w:eastAsia="Calibri" w:hAnsi="Calibri" w:cs="Calibri"/>
                <w:color w:val="1155CC"/>
                <w:sz w:val="24"/>
                <w:szCs w:val="24"/>
                <w:u w:val="single"/>
              </w:rPr>
              <w:t xml:space="preserve">; </w:t>
            </w:r>
          </w:p>
          <w:p w14:paraId="512737FD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22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Continuum of Coaching Supports Interactive Lesson</w:t>
              </w:r>
            </w:hyperlink>
          </w:p>
        </w:tc>
      </w:tr>
      <w:tr w:rsidR="00D50BFD" w14:paraId="4412AF66" w14:textId="77777777">
        <w:tc>
          <w:tcPr>
            <w:tcW w:w="5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107D" w14:textId="77777777" w:rsidR="00D50BFD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Coach implementation partners’ use of knowledge, skills, behaviors, attitudes, and practices in their daily work so that partners can gain confidence and competency</w:t>
            </w:r>
          </w:p>
        </w:tc>
        <w:tc>
          <w:tcPr>
            <w:tcW w:w="5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6EB1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23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Coaching Practice Profile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104D49A1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24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Look Fors: General Coaching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000E6A5A" w14:textId="77777777" w:rsidR="00D50BFD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25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Look Fors: Targeted Coaching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</w:tr>
    </w:tbl>
    <w:p w14:paraId="1BDFB872" w14:textId="77777777" w:rsidR="00D50BFD" w:rsidRDefault="00D50BFD">
      <w:pPr>
        <w:spacing w:line="240" w:lineRule="auto"/>
      </w:pPr>
    </w:p>
    <w:sectPr w:rsidR="00D50BFD">
      <w:head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9374" w14:textId="77777777" w:rsidR="00604939" w:rsidRDefault="00604939">
      <w:pPr>
        <w:spacing w:line="240" w:lineRule="auto"/>
      </w:pPr>
      <w:r>
        <w:separator/>
      </w:r>
    </w:p>
  </w:endnote>
  <w:endnote w:type="continuationSeparator" w:id="0">
    <w:p w14:paraId="0B223CA6" w14:textId="77777777" w:rsidR="00604939" w:rsidRDefault="00604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6653" w14:textId="77777777" w:rsidR="00D50BFD" w:rsidRDefault="00D50BFD">
    <w:pP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sz w:val="24"/>
        <w:szCs w:val="24"/>
      </w:rPr>
    </w:pPr>
  </w:p>
  <w:tbl>
    <w:tblPr>
      <w:tblStyle w:val="a2"/>
      <w:tblW w:w="11040" w:type="dxa"/>
      <w:tblInd w:w="-852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25"/>
      <w:gridCol w:w="615"/>
    </w:tblGrid>
    <w:tr w:rsidR="00D50BFD" w14:paraId="3457DF31" w14:textId="77777777">
      <w:trPr>
        <w:trHeight w:val="432"/>
      </w:trPr>
      <w:tc>
        <w:tcPr>
          <w:tcW w:w="10425" w:type="dxa"/>
          <w:tcBorders>
            <w:top w:val="nil"/>
            <w:left w:val="nil"/>
            <w:bottom w:val="nil"/>
          </w:tcBorders>
          <w:shd w:val="clear" w:color="auto" w:fill="3F3F3F"/>
          <w:vAlign w:val="center"/>
        </w:tcPr>
        <w:p w14:paraId="200474C4" w14:textId="77777777" w:rsidR="00D50BFD" w:rsidRDefault="00000000">
          <w:pPr>
            <w:tabs>
              <w:tab w:val="center" w:pos="4680"/>
              <w:tab w:val="right" w:pos="9360"/>
            </w:tabs>
            <w:spacing w:line="240" w:lineRule="auto"/>
            <w:ind w:right="360"/>
            <w:rPr>
              <w:rFonts w:ascii="Calibri" w:eastAsia="Calibri" w:hAnsi="Calibri" w:cs="Calibri"/>
              <w:smallCaps/>
              <w:color w:val="FFFFFF"/>
              <w:sz w:val="24"/>
              <w:szCs w:val="24"/>
            </w:rPr>
          </w:pPr>
          <w:r>
            <w:rPr>
              <w:rFonts w:ascii="Calibri" w:eastAsia="Calibri" w:hAnsi="Calibri" w:cs="Calibri"/>
              <w:color w:val="FFFFFF"/>
            </w:rPr>
            <w:t>THE ACTIVE IMPLEMENTATION HUB</w:t>
          </w:r>
          <w:r>
            <w:rPr>
              <w:rFonts w:ascii="Trebuchet MS" w:eastAsia="Trebuchet MS" w:hAnsi="Trebuchet MS" w:cs="Trebuchet MS"/>
              <w:color w:val="FFFFFF"/>
              <w:sz w:val="18"/>
              <w:szCs w:val="18"/>
            </w:rPr>
            <w:t xml:space="preserve"> </w:t>
          </w: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| https://implementation.fpg.unc.edu</w:t>
          </w:r>
        </w:p>
      </w:tc>
      <w:tc>
        <w:tcPr>
          <w:tcW w:w="615" w:type="dxa"/>
          <w:tcBorders>
            <w:top w:val="nil"/>
            <w:bottom w:val="nil"/>
            <w:right w:val="nil"/>
          </w:tcBorders>
          <w:shd w:val="clear" w:color="auto" w:fill="006186"/>
          <w:vAlign w:val="center"/>
        </w:tcPr>
        <w:p w14:paraId="66004B5B" w14:textId="77777777" w:rsidR="00D50BFD" w:rsidRDefault="00D50BFD">
          <w:pPr>
            <w:tabs>
              <w:tab w:val="center" w:pos="4680"/>
              <w:tab w:val="right" w:pos="9360"/>
            </w:tabs>
            <w:spacing w:line="240" w:lineRule="auto"/>
            <w:rPr>
              <w:rFonts w:ascii="Calibri" w:eastAsia="Calibri" w:hAnsi="Calibri" w:cs="Calibri"/>
              <w:smallCaps/>
              <w:color w:val="FFFFFF"/>
              <w:sz w:val="24"/>
              <w:szCs w:val="24"/>
            </w:rPr>
          </w:pPr>
        </w:p>
      </w:tc>
    </w:tr>
  </w:tbl>
  <w:p w14:paraId="2A1A1B51" w14:textId="77777777" w:rsidR="00D50BFD" w:rsidRDefault="00D50BFD">
    <w:pPr>
      <w:tabs>
        <w:tab w:val="center" w:pos="4680"/>
        <w:tab w:val="right" w:pos="936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A5AB" w14:textId="77777777" w:rsidR="00604939" w:rsidRDefault="00604939">
      <w:pPr>
        <w:spacing w:line="240" w:lineRule="auto"/>
      </w:pPr>
      <w:r>
        <w:separator/>
      </w:r>
    </w:p>
  </w:footnote>
  <w:footnote w:type="continuationSeparator" w:id="0">
    <w:p w14:paraId="088EBBF6" w14:textId="77777777" w:rsidR="00604939" w:rsidRDefault="006049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2CB7" w14:textId="77777777" w:rsidR="00D50BFD" w:rsidRDefault="00D50B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70AC" w14:textId="77777777" w:rsidR="00D50BFD" w:rsidRDefault="00D50BFD">
    <w:pPr>
      <w:widowControl w:val="0"/>
    </w:pPr>
  </w:p>
  <w:tbl>
    <w:tblPr>
      <w:tblStyle w:val="a1"/>
      <w:tblW w:w="11055" w:type="dxa"/>
      <w:tblInd w:w="-885" w:type="dxa"/>
      <w:tblBorders>
        <w:top w:val="nil"/>
        <w:left w:val="nil"/>
        <w:bottom w:val="single" w:sz="8" w:space="0" w:color="C00000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7380"/>
      <w:gridCol w:w="3675"/>
    </w:tblGrid>
    <w:tr w:rsidR="00D50BFD" w14:paraId="29FF123D" w14:textId="77777777">
      <w:trPr>
        <w:trHeight w:val="881"/>
      </w:trPr>
      <w:tc>
        <w:tcPr>
          <w:tcW w:w="73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6186"/>
          <w:vAlign w:val="center"/>
        </w:tcPr>
        <w:p w14:paraId="4B477736" w14:textId="77777777" w:rsidR="00D50BFD" w:rsidRDefault="00000000">
          <w:pPr>
            <w:pStyle w:val="Title"/>
            <w:keepNext w:val="0"/>
            <w:keepLines w:val="0"/>
            <w:spacing w:before="240" w:after="240" w:line="240" w:lineRule="auto"/>
            <w:rPr>
              <w:rFonts w:ascii="Trebuchet MS" w:eastAsia="Trebuchet MS" w:hAnsi="Trebuchet MS" w:cs="Trebuchet MS"/>
              <w:color w:val="FFFFFF"/>
              <w:sz w:val="28"/>
              <w:szCs w:val="28"/>
            </w:rPr>
          </w:pPr>
          <w:r>
            <w:rPr>
              <w:rFonts w:ascii="Trebuchet MS" w:eastAsia="Trebuchet MS" w:hAnsi="Trebuchet MS" w:cs="Trebuchet MS"/>
              <w:color w:val="FFFFFF"/>
              <w:sz w:val="28"/>
              <w:szCs w:val="28"/>
            </w:rPr>
            <w:t>Handout: Sustaining Change</w:t>
          </w:r>
        </w:p>
        <w:p w14:paraId="0FB52EDB" w14:textId="77777777" w:rsidR="00D50BFD" w:rsidRDefault="00000000">
          <w:pPr>
            <w:pStyle w:val="Title"/>
            <w:keepNext w:val="0"/>
            <w:keepLines w:val="0"/>
            <w:spacing w:before="240" w:after="240" w:line="240" w:lineRule="auto"/>
            <w:rPr>
              <w:rFonts w:ascii="Trebuchet MS" w:eastAsia="Trebuchet MS" w:hAnsi="Trebuchet MS" w:cs="Trebuchet MS"/>
              <w:i/>
              <w:color w:val="FFFFFF"/>
              <w:sz w:val="40"/>
              <w:szCs w:val="40"/>
            </w:rPr>
          </w:pPr>
          <w:r>
            <w:rPr>
              <w:rFonts w:ascii="Trebuchet MS" w:eastAsia="Trebuchet MS" w:hAnsi="Trebuchet MS" w:cs="Trebuchet MS"/>
              <w:color w:val="FFFFFF"/>
              <w:sz w:val="32"/>
              <w:szCs w:val="32"/>
            </w:rPr>
            <w:t>Capacity Building Resources</w:t>
          </w:r>
        </w:p>
      </w:tc>
      <w:tc>
        <w:tcPr>
          <w:tcW w:w="36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4D3520A" w14:textId="77777777" w:rsidR="00D50BFD" w:rsidRDefault="00000000">
          <w:pPr>
            <w:pStyle w:val="Title"/>
            <w:keepNext w:val="0"/>
            <w:keepLines w:val="0"/>
            <w:spacing w:before="240" w:after="240" w:line="240" w:lineRule="auto"/>
            <w:jc w:val="right"/>
            <w:rPr>
              <w:rFonts w:ascii="Trebuchet MS" w:eastAsia="Trebuchet MS" w:hAnsi="Trebuchet MS" w:cs="Trebuchet MS"/>
              <w:b/>
              <w:color w:val="FFFFFF"/>
            </w:rPr>
          </w:pPr>
          <w:r>
            <w:rPr>
              <w:rFonts w:ascii="Trebuchet MS" w:eastAsia="Trebuchet MS" w:hAnsi="Trebuchet MS" w:cs="Trebuchet MS"/>
              <w:b/>
              <w:noProof/>
              <w:color w:val="FFFFFF"/>
            </w:rPr>
            <w:drawing>
              <wp:inline distT="0" distB="0" distL="0" distR="0" wp14:anchorId="5A3A7E44" wp14:editId="110AE9DF">
                <wp:extent cx="2175521" cy="289808"/>
                <wp:effectExtent l="0" t="0" r="0" b="0"/>
                <wp:docPr id="1" name="image1.jpg" descr="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Tex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21" cy="289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96B8860" w14:textId="77777777" w:rsidR="00D50BFD" w:rsidRDefault="00D50BFD">
    <w:pPr>
      <w:spacing w:before="40" w:after="12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FD"/>
    <w:rsid w:val="00604939"/>
    <w:rsid w:val="00804115"/>
    <w:rsid w:val="00D5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B80F"/>
  <w15:docId w15:val="{B659981E-67A7-45B1-ACAC-81B9D75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lementation.fpg.unc.edu/resource/drivers-tip-sheet/" TargetMode="External"/><Relationship Id="rId13" Type="http://schemas.openxmlformats.org/officeDocument/2006/relationships/hyperlink" Target="https://implementation.fpg.unc.edu/resource/voices-from-the-field-video-series-competency-drivers/" TargetMode="External"/><Relationship Id="rId18" Type="http://schemas.openxmlformats.org/officeDocument/2006/relationships/hyperlink" Target="https://implementation.fpg.unc.edu/resource/coaching-system-development-worksheet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implementation.fpg.unc.edu/resource/coaching-behavior-interactive-lesson/" TargetMode="External"/><Relationship Id="rId7" Type="http://schemas.openxmlformats.org/officeDocument/2006/relationships/hyperlink" Target="https://implementation.fpg.unc.edu/resource/a-tale-of-two-states-alignment-and-cohesion-to-close-long-standing-disparities-in-student-outcomes/" TargetMode="External"/><Relationship Id="rId12" Type="http://schemas.openxmlformats.org/officeDocument/2006/relationships/hyperlink" Target="https://implementation.fpg.unc.edu/resource/scaling-up-brief-5-leveraging-change-in-state-education-systems/" TargetMode="External"/><Relationship Id="rId17" Type="http://schemas.openxmlformats.org/officeDocument/2006/relationships/hyperlink" Target="https://implementation.fpg.unc.edu/resource/training-plan-template/" TargetMode="External"/><Relationship Id="rId25" Type="http://schemas.openxmlformats.org/officeDocument/2006/relationships/hyperlink" Target="https://implementation.fpg.unc.edu/resource/look-fors-targeted-coach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plementation.fpg.unc.edu/resource/activity-drivers-swift-unscripted-podcast-implementation-drivers-as-the-engine-for-change/" TargetMode="External"/><Relationship Id="rId20" Type="http://schemas.openxmlformats.org/officeDocument/2006/relationships/hyperlink" Target="https://implementation.fpg.unc.edu/resource/coaching-overview-interactive-lesso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mplementation.fpg.unc.edu/resource/implemap-exploring-the-implementation-landscape/" TargetMode="External"/><Relationship Id="rId24" Type="http://schemas.openxmlformats.org/officeDocument/2006/relationships/hyperlink" Target="https://implementation.fpg.unc.edu/resource/look-fors-general-coach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plementation.fpg.unc.edu/resource/voices-from-the-field-video-series-integrated-compensatory/" TargetMode="External"/><Relationship Id="rId23" Type="http://schemas.openxmlformats.org/officeDocument/2006/relationships/hyperlink" Target="https://implementation.fpg.unc.edu/resource/coaching-practice-profile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mplementation.fpg.unc.edu/resource/scaling-up-brief-3-readiness-for-change/" TargetMode="External"/><Relationship Id="rId19" Type="http://schemas.openxmlformats.org/officeDocument/2006/relationships/hyperlink" Target="https://implementation.fpg.unc.edu/resource/coaching-service-delivery-plan-templ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plementation.fpg.unc.edu/resource/activity-getting-ready-for-change/" TargetMode="External"/><Relationship Id="rId14" Type="http://schemas.openxmlformats.org/officeDocument/2006/relationships/hyperlink" Target="https://implementation.fpg.unc.edu/resource/voices-from-the-field-video-series-intro-to-implementation-drivers/" TargetMode="External"/><Relationship Id="rId22" Type="http://schemas.openxmlformats.org/officeDocument/2006/relationships/hyperlink" Target="https://implementation.fpg.unc.edu/resource/continuum-of-coaching-supports-interactive-lesson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IUiXLSkStIn29NIMiu9Cv43tEg==">CgMxLjA4AHIhMWhRRzN3NFJlX3FwbXR3WXo0a25hUE9vZm1UNHRJQ3N3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Earl, Kris</dc:creator>
  <cp:lastModifiedBy>Earl, Kris</cp:lastModifiedBy>
  <cp:revision>2</cp:revision>
  <dcterms:created xsi:type="dcterms:W3CDTF">2023-12-21T19:55:00Z</dcterms:created>
  <dcterms:modified xsi:type="dcterms:W3CDTF">2023-12-21T19:55:00Z</dcterms:modified>
</cp:coreProperties>
</file>