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p>
    <w:tbl>
      <w:tblPr>
        <w:tblStyle w:val="Table1"/>
        <w:tblW w:w="10770.0" w:type="dxa"/>
        <w:jc w:val="left"/>
        <w:tblInd w:w="230.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6900"/>
        <w:gridCol w:w="3870"/>
        <w:tblGridChange w:id="0">
          <w:tblGrid>
            <w:gridCol w:w="6900"/>
            <w:gridCol w:w="3870"/>
          </w:tblGrid>
        </w:tblGridChange>
      </w:tblGrid>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2">
            <w:pPr>
              <w:widowControl w:val="1"/>
              <w:spacing w:before="40" w:lineRule="auto"/>
              <w:rPr>
                <w:color w:val="2f2f2f"/>
                <w:sz w:val="24"/>
                <w:szCs w:val="24"/>
              </w:rPr>
            </w:pPr>
            <w:r w:rsidDel="00000000" w:rsidR="00000000" w:rsidRPr="00000000">
              <w:rPr>
                <w:color w:val="2f2f2f"/>
                <w:sz w:val="24"/>
                <w:szCs w:val="24"/>
                <w:rtl w:val="0"/>
              </w:rPr>
              <w:t xml:space="preserve">This activity encourages you to identify potential Implementation Team members and responsibilities of team types, as well as consider team support strategies.</w:t>
            </w:r>
          </w:p>
        </w:tc>
      </w:tr>
    </w:tbl>
    <w:p w:rsidR="00000000" w:rsidDel="00000000" w:rsidP="00000000" w:rsidRDefault="00000000" w:rsidRPr="00000000" w14:paraId="00000004">
      <w:pPr>
        <w:widowControl w:val="1"/>
        <w:spacing w:after="120" w:before="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Style w:val="Title"/>
        <w:ind w:left="270" w:firstLine="0"/>
        <w:rPr/>
      </w:pPr>
      <w:r w:rsidDel="00000000" w:rsidR="00000000" w:rsidRPr="00000000">
        <w:rPr>
          <w:color w:val="007eb1"/>
          <w:rtl w:val="0"/>
        </w:rPr>
        <w:t xml:space="preserve">Thinking about a current or upcoming initiative: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79"/>
          <w:tab w:val="left" w:leader="none" w:pos="580"/>
        </w:tabs>
        <w:spacing w:after="0" w:before="0" w:line="240" w:lineRule="auto"/>
        <w:ind w:left="579"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How could you better utilize Improvement Cycles in your work?</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79"/>
          <w:tab w:val="left" w:leader="none" w:pos="580"/>
        </w:tabs>
        <w:spacing w:after="0" w:before="0" w:line="240" w:lineRule="auto"/>
        <w:ind w:left="579" w:right="429"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How can formal, transparent, and regular methods for hearing from the practice level (e.g., about what’s working) and then moving information up the system and back down, support effective implementation of new programs and innovations? What are the challenges to developing such processes? What might facilitate developing these practice-policy communication cycles?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1400175</wp:posOffset>
            </wp:positionH>
            <wp:positionV relativeFrom="paragraph">
              <wp:posOffset>35471</wp:posOffset>
            </wp:positionV>
            <wp:extent cx="4325938" cy="1608582"/>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25938" cy="1608582"/>
                    </a:xfrm>
                    <a:prstGeom prst="rect"/>
                    <a:ln/>
                  </pic:spPr>
                </pic:pic>
              </a:graphicData>
            </a:graphic>
          </wp:anchor>
        </w:drawing>
      </w:r>
    </w:p>
    <w:p w:rsidR="00000000" w:rsidDel="00000000" w:rsidP="00000000" w:rsidRDefault="00000000" w:rsidRPr="00000000" w14:paraId="00000014">
      <w:pPr>
        <w:spacing w:before="40" w:line="288" w:lineRule="auto"/>
        <w:ind w:left="0" w:right="1326" w:firstLine="0"/>
        <w:jc w:val="left"/>
        <w:rPr>
          <w:sz w:val="16"/>
          <w:szCs w:val="16"/>
        </w:rPr>
      </w:pPr>
      <w:r w:rsidDel="00000000" w:rsidR="00000000" w:rsidRPr="00000000">
        <w:rPr>
          <w:rtl w:val="0"/>
        </w:rPr>
      </w:r>
    </w:p>
    <w:sectPr>
      <w:headerReference r:id="rId7" w:type="default"/>
      <w:footerReference r:id="rId8" w:type="default"/>
      <w:pgSz w:h="15840" w:w="12240" w:orient="portrait"/>
      <w:pgMar w:bottom="280" w:top="700" w:left="500" w:right="3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1"/>
      <w:tabs>
        <w:tab w:val="left" w:leader="none" w:pos="5070"/>
        <w:tab w:val="center" w:leader="none" w:pos="5400"/>
      </w:tabs>
      <w:jc w:val="center"/>
      <w:rPr>
        <w:sz w:val="16"/>
        <w:szCs w:val="16"/>
      </w:rPr>
    </w:pPr>
    <w:r w:rsidDel="00000000" w:rsidR="00000000" w:rsidRPr="00000000">
      <w:rPr>
        <w:color w:val="ffffff"/>
        <w:sz w:val="24"/>
        <w:szCs w:val="24"/>
      </w:rPr>
      <w:fldChar w:fldCharType="begin"/>
      <w:instrText xml:space="preserve">PAGE</w:instrText>
      <w:fldChar w:fldCharType="separate"/>
      <w:fldChar w:fldCharType="end"/>
    </w:r>
    <w:r w:rsidDel="00000000" w:rsidR="00000000" w:rsidRPr="00000000">
      <w:rPr>
        <w:sz w:val="16"/>
        <w:szCs w:val="16"/>
        <w:rtl w:val="0"/>
      </w:rPr>
      <w:t xml:space="preserve"> The Active Implementation Hub, AI Modules and AI Lessons are developed by the</w:t>
    </w:r>
  </w:p>
  <w:p w:rsidR="00000000" w:rsidDel="00000000" w:rsidP="00000000" w:rsidRDefault="00000000" w:rsidRPr="00000000" w14:paraId="0000001B">
    <w:pPr>
      <w:widowControl w:val="1"/>
      <w:tabs>
        <w:tab w:val="left" w:leader="none" w:pos="5070"/>
        <w:tab w:val="center" w:leader="none" w:pos="5400"/>
      </w:tabs>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1C">
    <w:pPr>
      <w:widowControl w:val="1"/>
      <w:tabs>
        <w:tab w:val="left" w:leader="none" w:pos="5070"/>
        <w:tab w:val="center" w:leader="none" w:pos="5400"/>
      </w:tabs>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1D">
    <w:pPr>
      <w:widowControl w:val="1"/>
      <w:tabs>
        <w:tab w:val="left" w:leader="none" w:pos="5070"/>
        <w:tab w:val="center" w:leader="none" w:pos="5400"/>
      </w:tabs>
      <w:jc w:val="center"/>
      <w:rPr>
        <w:sz w:val="16"/>
        <w:szCs w:val="16"/>
      </w:rPr>
    </w:pPr>
    <w:r w:rsidDel="00000000" w:rsidR="00000000" w:rsidRPr="00000000">
      <w:rPr>
        <w:sz w:val="16"/>
        <w:szCs w:val="16"/>
        <w:rtl w:val="0"/>
      </w:rPr>
      <w:t xml:space="preserve">THE ACTIVE IMPLEMENTATION HUB | implementation.fpg.unc.edu</w:t>
    </w:r>
  </w:p>
  <w:p w:rsidR="00000000" w:rsidDel="00000000" w:rsidP="00000000" w:rsidRDefault="00000000" w:rsidRPr="00000000" w14:paraId="0000001E">
    <w:pPr>
      <w:widowControl w:val="1"/>
      <w:tabs>
        <w:tab w:val="center" w:leader="none" w:pos="4680"/>
        <w:tab w:val="right" w:leader="none" w:pos="9360"/>
      </w:tabs>
      <w:rPr>
        <w:sz w:val="24"/>
        <w:szCs w:val="24"/>
      </w:rPr>
    </w:pPr>
    <w:r w:rsidDel="00000000" w:rsidR="00000000" w:rsidRPr="00000000">
      <w:rPr>
        <w:rtl w:val="0"/>
      </w:rPr>
    </w:r>
  </w:p>
  <w:tbl>
    <w:tblPr>
      <w:tblStyle w:val="Table3"/>
      <w:tblW w:w="10695.0" w:type="dxa"/>
      <w:jc w:val="left"/>
      <w:tblInd w:w="9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110"/>
      <w:gridCol w:w="585"/>
      <w:tblGridChange w:id="0">
        <w:tblGrid>
          <w:gridCol w:w="10110"/>
          <w:gridCol w:w="58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1F">
          <w:pPr>
            <w:widowControl w:val="1"/>
            <w:tabs>
              <w:tab w:val="center" w:leader="none" w:pos="4680"/>
              <w:tab w:val="right" w:leader="none" w:pos="9360"/>
            </w:tabs>
            <w:ind w:right="360"/>
            <w:rPr>
              <w:smallCaps w:val="1"/>
              <w:color w:val="ffffff"/>
              <w:sz w:val="24"/>
              <w:szCs w:val="24"/>
            </w:rPr>
          </w:pPr>
          <w:r w:rsidDel="00000000" w:rsidR="00000000" w:rsidRPr="00000000">
            <w:rPr>
              <w:color w:val="ffffff"/>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20">
          <w:pPr>
            <w:widowControl w:val="1"/>
            <w:tabs>
              <w:tab w:val="center" w:leader="none" w:pos="4680"/>
              <w:tab w:val="right" w:leader="none" w:pos="9360"/>
            </w:tabs>
            <w:rPr>
              <w:smallCaps w:val="1"/>
              <w:color w:val="ffffff"/>
              <w:sz w:val="24"/>
              <w:szCs w:val="24"/>
            </w:rPr>
          </w:pPr>
          <w:r w:rsidDel="00000000" w:rsidR="00000000" w:rsidRPr="00000000">
            <w:rPr>
              <w:rtl w:val="0"/>
            </w:rPr>
          </w:r>
        </w:p>
      </w:tc>
    </w:tr>
  </w:tbl>
  <w:p w:rsidR="00000000" w:rsidDel="00000000" w:rsidP="00000000" w:rsidRDefault="00000000" w:rsidRPr="00000000" w14:paraId="00000021">
    <w:pPr>
      <w:widowControl w:val="1"/>
      <w:tabs>
        <w:tab w:val="center" w:leader="none" w:pos="4680"/>
        <w:tab w:val="right" w:leader="none" w:pos="936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276" w:lineRule="auto"/>
      <w:rPr>
        <w:rFonts w:ascii="Arial" w:cs="Arial" w:eastAsia="Arial" w:hAnsi="Arial"/>
      </w:rPr>
    </w:pPr>
    <w:r w:rsidDel="00000000" w:rsidR="00000000" w:rsidRPr="00000000">
      <w:rPr>
        <w:rtl w:val="0"/>
      </w:rPr>
    </w:r>
  </w:p>
  <w:tbl>
    <w:tblPr>
      <w:tblStyle w:val="Table2"/>
      <w:tblW w:w="10785.0" w:type="dxa"/>
      <w:jc w:val="left"/>
      <w:tblInd w:w="260.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020"/>
      <w:gridCol w:w="3765"/>
      <w:tblGridChange w:id="0">
        <w:tblGrid>
          <w:gridCol w:w="7020"/>
          <w:gridCol w:w="3765"/>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16">
          <w:pPr>
            <w:pStyle w:val="Title"/>
            <w:widowControl w:val="1"/>
            <w:spacing w:after="240" w:before="240" w:lineRule="auto"/>
            <w:ind w:left="0"/>
            <w:rPr>
              <w:rFonts w:ascii="Trebuchet MS" w:cs="Trebuchet MS" w:eastAsia="Trebuchet MS" w:hAnsi="Trebuchet MS"/>
              <w:b w:val="0"/>
              <w:color w:val="ffffff"/>
            </w:rPr>
          </w:pPr>
          <w:r w:rsidDel="00000000" w:rsidR="00000000" w:rsidRPr="00000000">
            <w:rPr>
              <w:rFonts w:ascii="Trebuchet MS" w:cs="Trebuchet MS" w:eastAsia="Trebuchet MS" w:hAnsi="Trebuchet MS"/>
              <w:b w:val="0"/>
              <w:color w:val="ffffff"/>
              <w:rtl w:val="0"/>
            </w:rPr>
            <w:t xml:space="preserve">Activity: Improvement Cycles</w:t>
          </w:r>
        </w:p>
        <w:p w:rsidR="00000000" w:rsidDel="00000000" w:rsidP="00000000" w:rsidRDefault="00000000" w:rsidRPr="00000000" w14:paraId="00000017">
          <w:pPr>
            <w:pStyle w:val="Title"/>
            <w:widowControl w:val="1"/>
            <w:spacing w:after="240" w:before="240" w:lineRule="auto"/>
            <w:ind w:left="0"/>
            <w:rPr>
              <w:rFonts w:ascii="Trebuchet MS" w:cs="Trebuchet MS" w:eastAsia="Trebuchet MS" w:hAnsi="Trebuchet MS"/>
              <w:b w:val="0"/>
              <w:i w:val="1"/>
              <w:color w:val="ffffff"/>
              <w:sz w:val="40"/>
              <w:szCs w:val="40"/>
            </w:rPr>
          </w:pPr>
          <w:r w:rsidDel="00000000" w:rsidR="00000000" w:rsidRPr="00000000">
            <w:rPr>
              <w:rFonts w:ascii="Trebuchet MS" w:cs="Trebuchet MS" w:eastAsia="Trebuchet MS" w:hAnsi="Trebuchet MS"/>
              <w:b w:val="0"/>
              <w:color w:val="ffffff"/>
              <w:sz w:val="32"/>
              <w:szCs w:val="32"/>
              <w:rtl w:val="0"/>
            </w:rPr>
            <w:t xml:space="preserve">Getting Started with Improvement Cycles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pStyle w:val="Title"/>
            <w:widowControl w:val="1"/>
            <w:spacing w:after="240" w:before="240" w:lineRule="auto"/>
            <w:ind w:left="0"/>
            <w:jc w:val="right"/>
            <w:rPr>
              <w:rFonts w:ascii="Trebuchet MS" w:cs="Trebuchet MS" w:eastAsia="Trebuchet MS" w:hAnsi="Trebuchet MS"/>
              <w:color w:val="ffffff"/>
              <w:sz w:val="52"/>
              <w:szCs w:val="52"/>
            </w:rPr>
          </w:pPr>
          <w:bookmarkStart w:colFirst="0" w:colLast="0" w:name="_ogq5jgcppxh6" w:id="0"/>
          <w:bookmarkEnd w:id="0"/>
          <w:r w:rsidDel="00000000" w:rsidR="00000000" w:rsidRPr="00000000">
            <w:rPr>
              <w:rFonts w:ascii="Trebuchet MS" w:cs="Trebuchet MS" w:eastAsia="Trebuchet MS" w:hAnsi="Trebuchet MS"/>
              <w:color w:val="ffffff"/>
              <w:sz w:val="52"/>
              <w:szCs w:val="52"/>
            </w:rPr>
            <w:drawing>
              <wp:inline distB="0" distT="0" distL="0" distR="0">
                <wp:extent cx="2175521" cy="289808"/>
                <wp:effectExtent b="0" l="0" r="0" t="0"/>
                <wp:docPr descr="Text&#10;&#10;Description automatically generated" id="2" name="image1.jpg"/>
                <a:graphic>
                  <a:graphicData uri="http://schemas.openxmlformats.org/drawingml/2006/picture">
                    <pic:pic>
                      <pic:nvPicPr>
                        <pic:cNvPr descr="Text&#10;&#10;Description automatically generated" id="0" name="image1.jpg"/>
                        <pic:cNvPicPr preferRelativeResize="0"/>
                      </pic:nvPicPr>
                      <pic:blipFill>
                        <a:blip r:embed="rId1"/>
                        <a:srcRect b="0" l="0" r="0" t="0"/>
                        <a:stretch>
                          <a:fillRect/>
                        </a:stretch>
                      </pic:blipFill>
                      <pic:spPr>
                        <a:xfrm>
                          <a:off x="0" y="0"/>
                          <a:ext cx="2175521" cy="28980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9">
    <w:pPr>
      <w:widowControl w:val="1"/>
      <w:spacing w:after="120" w:before="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79" w:hanging="360"/>
      </w:pPr>
      <w:rPr>
        <w:rFonts w:ascii="Calibri" w:cs="Calibri" w:eastAsia="Calibri" w:hAnsi="Calibri"/>
        <w:b w:val="0"/>
        <w:i w:val="0"/>
        <w:sz w:val="28"/>
        <w:szCs w:val="28"/>
      </w:rPr>
    </w:lvl>
    <w:lvl w:ilvl="1">
      <w:start w:val="0"/>
      <w:numFmt w:val="bullet"/>
      <w:lvlText w:val="•"/>
      <w:lvlJc w:val="left"/>
      <w:pPr>
        <w:ind w:left="1666" w:hanging="360"/>
      </w:pPr>
      <w:rPr/>
    </w:lvl>
    <w:lvl w:ilvl="2">
      <w:start w:val="0"/>
      <w:numFmt w:val="bullet"/>
      <w:lvlText w:val="•"/>
      <w:lvlJc w:val="left"/>
      <w:pPr>
        <w:ind w:left="2752" w:hanging="360"/>
      </w:pPr>
      <w:rPr/>
    </w:lvl>
    <w:lvl w:ilvl="3">
      <w:start w:val="0"/>
      <w:numFmt w:val="bullet"/>
      <w:lvlText w:val="•"/>
      <w:lvlJc w:val="left"/>
      <w:pPr>
        <w:ind w:left="3838" w:hanging="360"/>
      </w:pPr>
      <w:rPr/>
    </w:lvl>
    <w:lvl w:ilvl="4">
      <w:start w:val="0"/>
      <w:numFmt w:val="bullet"/>
      <w:lvlText w:val="•"/>
      <w:lvlJc w:val="left"/>
      <w:pPr>
        <w:ind w:left="4924" w:hanging="360"/>
      </w:pPr>
      <w:rPr/>
    </w:lvl>
    <w:lvl w:ilvl="5">
      <w:start w:val="0"/>
      <w:numFmt w:val="bullet"/>
      <w:lvlText w:val="•"/>
      <w:lvlJc w:val="left"/>
      <w:pPr>
        <w:ind w:left="6010" w:hanging="360"/>
      </w:pPr>
      <w:rPr/>
    </w:lvl>
    <w:lvl w:ilvl="6">
      <w:start w:val="0"/>
      <w:numFmt w:val="bullet"/>
      <w:lvlText w:val="•"/>
      <w:lvlJc w:val="left"/>
      <w:pPr>
        <w:ind w:left="7096" w:hanging="360"/>
      </w:pPr>
      <w:rPr/>
    </w:lvl>
    <w:lvl w:ilvl="7">
      <w:start w:val="0"/>
      <w:numFmt w:val="bullet"/>
      <w:lvlText w:val="•"/>
      <w:lvlJc w:val="left"/>
      <w:pPr>
        <w:ind w:left="8182" w:hanging="360"/>
      </w:pPr>
      <w:rPr/>
    </w:lvl>
    <w:lvl w:ilvl="8">
      <w:start w:val="0"/>
      <w:numFmt w:val="bullet"/>
      <w:lvlText w:val="•"/>
      <w:lvlJc w:val="left"/>
      <w:pPr>
        <w:ind w:left="926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5" w:lineRule="auto"/>
      <w:ind w:left="220"/>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