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E057" w14:textId="77777777" w:rsidR="00CA05CB" w:rsidRDefault="00CA05CB">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5"/>
        <w:tblW w:w="10790"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244"/>
        <w:gridCol w:w="3546"/>
      </w:tblGrid>
      <w:tr w:rsidR="00CA05CB" w14:paraId="7167D739" w14:textId="77777777">
        <w:trPr>
          <w:trHeight w:val="881"/>
        </w:trPr>
        <w:tc>
          <w:tcPr>
            <w:tcW w:w="7244"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1F2F4159" w14:textId="77777777" w:rsidR="00CA05CB" w:rsidRDefault="00000000">
            <w:pPr>
              <w:pStyle w:val="Title"/>
              <w:rPr>
                <w:sz w:val="28"/>
                <w:szCs w:val="28"/>
              </w:rPr>
            </w:pPr>
            <w:r>
              <w:rPr>
                <w:sz w:val="28"/>
                <w:szCs w:val="28"/>
              </w:rPr>
              <w:t>Activity: Implementation Teams</w:t>
            </w:r>
          </w:p>
          <w:p w14:paraId="72EAC1B4" w14:textId="77777777" w:rsidR="00CA05CB" w:rsidRDefault="00000000">
            <w:pPr>
              <w:pStyle w:val="Title"/>
              <w:rPr>
                <w:i/>
                <w:sz w:val="40"/>
                <w:szCs w:val="40"/>
              </w:rPr>
            </w:pPr>
            <w:r>
              <w:rPr>
                <w:sz w:val="32"/>
                <w:szCs w:val="32"/>
              </w:rPr>
              <w:t>Engaging Community and Building Hospitable Environments</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61672" w14:textId="77777777" w:rsidR="00CA05CB" w:rsidRDefault="00000000">
            <w:pPr>
              <w:pStyle w:val="Title"/>
              <w:jc w:val="right"/>
              <w:rPr>
                <w:b/>
              </w:rPr>
            </w:pPr>
            <w:r>
              <w:rPr>
                <w:b/>
                <w:noProof/>
              </w:rPr>
              <w:drawing>
                <wp:inline distT="0" distB="0" distL="0" distR="0" wp14:anchorId="6B968001" wp14:editId="07B9A4EC">
                  <wp:extent cx="2175521" cy="289808"/>
                  <wp:effectExtent l="0" t="0" r="0" b="0"/>
                  <wp:docPr id="4"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2175521" cy="289808"/>
                          </a:xfrm>
                          <a:prstGeom prst="rect">
                            <a:avLst/>
                          </a:prstGeom>
                          <a:ln/>
                        </pic:spPr>
                      </pic:pic>
                    </a:graphicData>
                  </a:graphic>
                </wp:inline>
              </w:drawing>
            </w:r>
          </w:p>
        </w:tc>
      </w:tr>
      <w:tr w:rsidR="00CA05CB" w14:paraId="3E38360E" w14:textId="77777777">
        <w:trPr>
          <w:trHeight w:val="252"/>
        </w:trPr>
        <w:tc>
          <w:tcPr>
            <w:tcW w:w="10790" w:type="dxa"/>
            <w:gridSpan w:val="2"/>
            <w:tcBorders>
              <w:top w:val="single" w:sz="4" w:space="0" w:color="000000"/>
              <w:bottom w:val="nil"/>
            </w:tcBorders>
            <w:shd w:val="clear" w:color="auto" w:fill="FFFFFF"/>
            <w:vAlign w:val="center"/>
          </w:tcPr>
          <w:p w14:paraId="37B88E4F" w14:textId="77777777" w:rsidR="00CA05CB" w:rsidRDefault="00CA05CB">
            <w:pPr>
              <w:rPr>
                <w:b/>
                <w:color w:val="F2F2F2"/>
                <w:sz w:val="20"/>
                <w:szCs w:val="20"/>
              </w:rPr>
            </w:pPr>
          </w:p>
        </w:tc>
      </w:tr>
      <w:tr w:rsidR="00CA05CB" w14:paraId="4A8AD147" w14:textId="77777777">
        <w:tc>
          <w:tcPr>
            <w:tcW w:w="10790" w:type="dxa"/>
            <w:gridSpan w:val="2"/>
            <w:tcBorders>
              <w:top w:val="nil"/>
              <w:bottom w:val="nil"/>
            </w:tcBorders>
            <w:shd w:val="clear" w:color="auto" w:fill="F8F2E0"/>
          </w:tcPr>
          <w:p w14:paraId="0D7E8A42" w14:textId="77777777" w:rsidR="00CA05CB" w:rsidRDefault="00000000">
            <w:pPr>
              <w:rPr>
                <w:color w:val="2F2F2F"/>
              </w:rPr>
            </w:pPr>
            <w:r>
              <w:rPr>
                <w:color w:val="2F2F2F"/>
              </w:rPr>
              <w:t>Reflect on your current organization. How does your team engage the community? How would you describe your system, organization, or team environment? Use one of the planning tools to assess your environment, then consider plans for potential improvement.</w:t>
            </w:r>
          </w:p>
        </w:tc>
      </w:tr>
    </w:tbl>
    <w:p w14:paraId="4A8B7FB0" w14:textId="77777777" w:rsidR="00CA05CB" w:rsidRDefault="00CA05CB">
      <w:pPr>
        <w:rPr>
          <w:rFonts w:ascii="Trebuchet MS" w:eastAsia="Trebuchet MS" w:hAnsi="Trebuchet MS" w:cs="Trebuchet MS"/>
          <w:b/>
          <w:color w:val="0082B3"/>
          <w:sz w:val="16"/>
          <w:szCs w:val="16"/>
        </w:rPr>
      </w:pPr>
    </w:p>
    <w:p w14:paraId="64AE562E" w14:textId="77777777" w:rsidR="00CA05CB" w:rsidRDefault="00000000">
      <w:pPr>
        <w:pStyle w:val="Heading3"/>
      </w:pPr>
      <w:r>
        <w:rPr>
          <w:color w:val="0082B3"/>
        </w:rPr>
        <w:t>Instructions</w:t>
      </w:r>
    </w:p>
    <w:p w14:paraId="0F2D1B59" w14:textId="77777777" w:rsidR="00CA05CB" w:rsidRDefault="00000000">
      <w:pPr>
        <w:numPr>
          <w:ilvl w:val="0"/>
          <w:numId w:val="3"/>
        </w:numPr>
        <w:pBdr>
          <w:top w:val="nil"/>
          <w:left w:val="nil"/>
          <w:bottom w:val="nil"/>
          <w:right w:val="nil"/>
          <w:between w:val="nil"/>
        </w:pBdr>
        <w:spacing w:after="240" w:line="276" w:lineRule="auto"/>
        <w:rPr>
          <w:rFonts w:eastAsia="Calibri" w:cs="Calibri"/>
          <w:b/>
          <w:color w:val="0082B3"/>
          <w:sz w:val="22"/>
          <w:szCs w:val="22"/>
        </w:rPr>
      </w:pPr>
      <w:bookmarkStart w:id="0" w:name="_heading=h.gjdgxs" w:colFirst="0" w:colLast="0"/>
      <w:bookmarkEnd w:id="0"/>
      <w:r>
        <w:rPr>
          <w:rFonts w:eastAsia="Calibri" w:cs="Calibri"/>
          <w:b/>
          <w:color w:val="0082B3"/>
        </w:rPr>
        <w:t>Download one of the following:</w:t>
      </w:r>
    </w:p>
    <w:p w14:paraId="507EE9BE" w14:textId="77777777" w:rsidR="00CA05CB" w:rsidRDefault="00000000">
      <w:pPr>
        <w:numPr>
          <w:ilvl w:val="0"/>
          <w:numId w:val="1"/>
        </w:numPr>
        <w:pBdr>
          <w:top w:val="nil"/>
          <w:left w:val="nil"/>
          <w:bottom w:val="nil"/>
          <w:right w:val="nil"/>
          <w:between w:val="nil"/>
        </w:pBdr>
        <w:spacing w:after="0" w:line="276" w:lineRule="auto"/>
        <w:rPr>
          <w:rFonts w:eastAsia="Calibri" w:cs="Calibri"/>
          <w:color w:val="0082B3"/>
        </w:rPr>
      </w:pPr>
      <w:hyperlink r:id="rId9">
        <w:r>
          <w:rPr>
            <w:color w:val="007FAE"/>
            <w:highlight w:val="white"/>
            <w:u w:val="single"/>
          </w:rPr>
          <w:t>Tool: Communication Protocols Worksheet</w:t>
        </w:r>
      </w:hyperlink>
    </w:p>
    <w:p w14:paraId="2FD9F1A5" w14:textId="77777777" w:rsidR="00CA05CB" w:rsidRDefault="00000000">
      <w:pPr>
        <w:numPr>
          <w:ilvl w:val="0"/>
          <w:numId w:val="1"/>
        </w:numPr>
        <w:pBdr>
          <w:top w:val="nil"/>
          <w:left w:val="nil"/>
          <w:bottom w:val="nil"/>
          <w:right w:val="nil"/>
          <w:between w:val="nil"/>
        </w:pBdr>
        <w:spacing w:after="240" w:line="276" w:lineRule="auto"/>
        <w:rPr>
          <w:rFonts w:eastAsia="Calibri" w:cs="Calibri"/>
          <w:color w:val="0082B3"/>
        </w:rPr>
      </w:pPr>
      <w:hyperlink r:id="rId10">
        <w:r>
          <w:rPr>
            <w:color w:val="007FAE"/>
            <w:highlight w:val="white"/>
            <w:u w:val="single"/>
          </w:rPr>
          <w:t>Activity: Creating Hospitable Environments</w:t>
        </w:r>
      </w:hyperlink>
    </w:p>
    <w:p w14:paraId="571815B1" w14:textId="77777777" w:rsidR="00CA05CB" w:rsidRDefault="00000000">
      <w:pPr>
        <w:numPr>
          <w:ilvl w:val="0"/>
          <w:numId w:val="3"/>
        </w:numPr>
        <w:pBdr>
          <w:top w:val="nil"/>
          <w:left w:val="nil"/>
          <w:bottom w:val="nil"/>
          <w:right w:val="nil"/>
          <w:between w:val="nil"/>
        </w:pBdr>
        <w:spacing w:after="240"/>
        <w:rPr>
          <w:rFonts w:eastAsia="Calibri" w:cs="Calibri"/>
          <w:b/>
          <w:color w:val="0082B3"/>
        </w:rPr>
      </w:pPr>
      <w:r>
        <w:rPr>
          <w:rFonts w:eastAsia="Calibri" w:cs="Calibri"/>
          <w:b/>
          <w:color w:val="0082B3"/>
        </w:rPr>
        <w:t>Use either of the tool or activi</w:t>
      </w:r>
      <w:r>
        <w:rPr>
          <w:b/>
          <w:color w:val="0082B3"/>
        </w:rPr>
        <w:t>ty</w:t>
      </w:r>
      <w:r>
        <w:rPr>
          <w:rFonts w:eastAsia="Calibri" w:cs="Calibri"/>
          <w:b/>
          <w:color w:val="0082B3"/>
        </w:rPr>
        <w:t xml:space="preserve"> to answer the following questions</w:t>
      </w:r>
      <w:r>
        <w:rPr>
          <w:b/>
          <w:color w:val="0082B3"/>
        </w:rPr>
        <w:t>:</w:t>
      </w:r>
    </w:p>
    <w:p w14:paraId="5204FD78" w14:textId="77777777" w:rsidR="00CA05CB" w:rsidRDefault="00000000">
      <w:pPr>
        <w:numPr>
          <w:ilvl w:val="0"/>
          <w:numId w:val="2"/>
        </w:numPr>
        <w:pBdr>
          <w:top w:val="nil"/>
          <w:left w:val="nil"/>
          <w:bottom w:val="nil"/>
          <w:right w:val="nil"/>
          <w:between w:val="nil"/>
        </w:pBdr>
        <w:spacing w:after="200"/>
        <w:rPr>
          <w:rFonts w:eastAsia="Calibri" w:cs="Calibri"/>
          <w:color w:val="000000"/>
          <w:sz w:val="22"/>
          <w:szCs w:val="22"/>
        </w:rPr>
      </w:pPr>
      <w:r>
        <w:rPr>
          <w:rFonts w:eastAsia="Calibri" w:cs="Calibri"/>
          <w:color w:val="000000"/>
          <w:sz w:val="22"/>
          <w:szCs w:val="22"/>
        </w:rPr>
        <w:t>How many of the elements on the selected tool does your school, district, region, or state already do? Did you think of a few? Several?</w:t>
      </w:r>
    </w:p>
    <w:p w14:paraId="247CBA17" w14:textId="77777777" w:rsidR="00CA05CB" w:rsidRDefault="00000000">
      <w:pPr>
        <w:numPr>
          <w:ilvl w:val="1"/>
          <w:numId w:val="2"/>
        </w:numPr>
        <w:pBdr>
          <w:top w:val="nil"/>
          <w:left w:val="nil"/>
          <w:bottom w:val="nil"/>
          <w:right w:val="nil"/>
          <w:between w:val="nil"/>
        </w:pBdr>
        <w:spacing w:after="200"/>
        <w:rPr>
          <w:sz w:val="22"/>
          <w:szCs w:val="22"/>
        </w:rPr>
      </w:pPr>
      <w:r>
        <w:rPr>
          <w:rFonts w:ascii="Roboto" w:eastAsia="Roboto" w:hAnsi="Roboto" w:cs="Roboto"/>
          <w:sz w:val="21"/>
          <w:szCs w:val="21"/>
          <w:highlight w:val="white"/>
        </w:rPr>
        <w:t xml:space="preserve">How </w:t>
      </w:r>
      <w:proofErr w:type="gramStart"/>
      <w:r>
        <w:rPr>
          <w:rFonts w:ascii="Roboto" w:eastAsia="Roboto" w:hAnsi="Roboto" w:cs="Roboto"/>
          <w:sz w:val="21"/>
          <w:szCs w:val="21"/>
          <w:highlight w:val="white"/>
        </w:rPr>
        <w:t>these elements are</w:t>
      </w:r>
      <w:proofErr w:type="gramEnd"/>
      <w:r>
        <w:rPr>
          <w:rFonts w:ascii="Roboto" w:eastAsia="Roboto" w:hAnsi="Roboto" w:cs="Roboto"/>
          <w:sz w:val="21"/>
          <w:szCs w:val="21"/>
          <w:highlight w:val="white"/>
        </w:rPr>
        <w:t xml:space="preserve"> working well?</w:t>
      </w:r>
    </w:p>
    <w:p w14:paraId="5FFBC17F" w14:textId="77777777" w:rsidR="00CA05CB" w:rsidRDefault="00000000">
      <w:pPr>
        <w:numPr>
          <w:ilvl w:val="1"/>
          <w:numId w:val="2"/>
        </w:numPr>
        <w:pBdr>
          <w:top w:val="nil"/>
          <w:left w:val="nil"/>
          <w:bottom w:val="nil"/>
          <w:right w:val="nil"/>
          <w:between w:val="nil"/>
        </w:pBdr>
        <w:spacing w:after="200"/>
        <w:rPr>
          <w:sz w:val="22"/>
          <w:szCs w:val="22"/>
        </w:rPr>
      </w:pPr>
      <w:r>
        <w:rPr>
          <w:rFonts w:ascii="Roboto" w:eastAsia="Roboto" w:hAnsi="Roboto" w:cs="Roboto"/>
          <w:sz w:val="21"/>
          <w:szCs w:val="21"/>
          <w:highlight w:val="white"/>
        </w:rPr>
        <w:t>What barriers they may be facing?</w:t>
      </w:r>
    </w:p>
    <w:p w14:paraId="583B075E" w14:textId="77777777" w:rsidR="00CA05CB" w:rsidRDefault="00000000">
      <w:pPr>
        <w:numPr>
          <w:ilvl w:val="0"/>
          <w:numId w:val="2"/>
        </w:numPr>
        <w:pBdr>
          <w:top w:val="nil"/>
          <w:left w:val="nil"/>
          <w:bottom w:val="nil"/>
          <w:right w:val="nil"/>
          <w:between w:val="nil"/>
        </w:pBdr>
        <w:spacing w:after="240"/>
        <w:rPr>
          <w:rFonts w:eastAsia="Calibri" w:cs="Calibri"/>
          <w:color w:val="000000"/>
          <w:sz w:val="22"/>
          <w:szCs w:val="22"/>
        </w:rPr>
      </w:pPr>
      <w:r>
        <w:rPr>
          <w:rFonts w:eastAsia="Calibri" w:cs="Calibri"/>
          <w:color w:val="000000"/>
          <w:sz w:val="22"/>
          <w:szCs w:val="22"/>
        </w:rPr>
        <w:t>Are there simple steps you, your team, and your organization could take to improve? What would it take to ‘Get started’? ‘Get better’?</w:t>
      </w:r>
    </w:p>
    <w:sectPr w:rsidR="00CA05CB">
      <w:footerReference w:type="default" r:id="rId11"/>
      <w:footerReference w:type="first" r:id="rId12"/>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6F8D" w14:textId="77777777" w:rsidR="001C0C3C" w:rsidRDefault="001C0C3C">
      <w:pPr>
        <w:spacing w:before="0" w:after="0"/>
      </w:pPr>
      <w:r>
        <w:separator/>
      </w:r>
    </w:p>
  </w:endnote>
  <w:endnote w:type="continuationSeparator" w:id="0">
    <w:p w14:paraId="54C7D0D9" w14:textId="77777777" w:rsidR="001C0C3C" w:rsidRDefault="001C0C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14D2" w14:textId="77777777" w:rsidR="00CA05CB" w:rsidRDefault="00000000">
    <w:pPr>
      <w:tabs>
        <w:tab w:val="left" w:pos="5070"/>
        <w:tab w:val="center" w:pos="5400"/>
      </w:tabs>
      <w:spacing w:before="0" w:after="0"/>
      <w:jc w:val="center"/>
      <w:rPr>
        <w:sz w:val="16"/>
        <w:szCs w:val="16"/>
      </w:rPr>
    </w:pPr>
    <w:bookmarkStart w:id="1" w:name="_heading=h.30j0zll" w:colFirst="0" w:colLast="0"/>
    <w:bookmarkEnd w:id="1"/>
    <w:r>
      <w:rPr>
        <w:sz w:val="16"/>
        <w:szCs w:val="16"/>
      </w:rPr>
      <w:t>The Active Implementation Hub, AI Modules and AI Lessons are developed by the</w:t>
    </w:r>
  </w:p>
  <w:p w14:paraId="136E65A7" w14:textId="77777777" w:rsidR="00CA05CB"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0D3E7556" w14:textId="77777777" w:rsidR="00CA05CB"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30282A87" w14:textId="77777777" w:rsidR="00CA05CB" w:rsidRDefault="00000000">
    <w:pPr>
      <w:tabs>
        <w:tab w:val="left" w:pos="5070"/>
        <w:tab w:val="center" w:pos="5400"/>
      </w:tabs>
      <w:spacing w:before="0" w:after="0"/>
      <w:jc w:val="center"/>
      <w:rPr>
        <w:sz w:val="16"/>
        <w:szCs w:val="16"/>
      </w:rPr>
    </w:pPr>
    <w:r>
      <w:rPr>
        <w:sz w:val="16"/>
        <w:szCs w:val="16"/>
      </w:rPr>
      <w:t xml:space="preserve">THE ACTIVE IMPLEMENTATION HUB | </w:t>
    </w:r>
    <w:proofErr w:type="spellStart"/>
    <w:proofErr w:type="gramStart"/>
    <w:r>
      <w:rPr>
        <w:sz w:val="16"/>
        <w:szCs w:val="16"/>
      </w:rPr>
      <w:t>nirn</w:t>
    </w:r>
    <w:proofErr w:type="spellEnd"/>
    <w:r>
      <w:rPr>
        <w:sz w:val="16"/>
        <w:szCs w:val="16"/>
      </w:rPr>
      <w:t>..</w:t>
    </w:r>
    <w:proofErr w:type="gramEnd"/>
    <w:r>
      <w:rPr>
        <w:sz w:val="16"/>
        <w:szCs w:val="16"/>
      </w:rPr>
      <w:t>fpg.unc.edu/ai-hub</w:t>
    </w:r>
  </w:p>
  <w:tbl>
    <w:tblPr>
      <w:tblStyle w:val="a7"/>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CA05CB" w14:paraId="01F81518" w14:textId="77777777">
      <w:trPr>
        <w:trHeight w:val="432"/>
      </w:trPr>
      <w:tc>
        <w:tcPr>
          <w:tcW w:w="10208" w:type="dxa"/>
          <w:tcBorders>
            <w:top w:val="nil"/>
            <w:left w:val="nil"/>
            <w:bottom w:val="nil"/>
          </w:tcBorders>
          <w:shd w:val="clear" w:color="auto" w:fill="3F3F3F"/>
          <w:vAlign w:val="center"/>
        </w:tcPr>
        <w:p w14:paraId="0FF43F0F" w14:textId="77777777" w:rsidR="00CA05CB" w:rsidRDefault="00000000">
          <w:pPr>
            <w:pBdr>
              <w:top w:val="nil"/>
              <w:left w:val="nil"/>
              <w:bottom w:val="nil"/>
              <w:right w:val="nil"/>
              <w:between w:val="nil"/>
            </w:pBdr>
            <w:tabs>
              <w:tab w:val="center" w:pos="4680"/>
              <w:tab w:val="right" w:pos="9360"/>
            </w:tabs>
            <w:spacing w:before="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nirn.fpg.unc.edu/ai-hub</w:t>
          </w:r>
        </w:p>
      </w:tc>
      <w:tc>
        <w:tcPr>
          <w:tcW w:w="592" w:type="dxa"/>
          <w:tcBorders>
            <w:top w:val="nil"/>
            <w:bottom w:val="nil"/>
            <w:right w:val="nil"/>
          </w:tcBorders>
          <w:shd w:val="clear" w:color="auto" w:fill="006186"/>
          <w:vAlign w:val="center"/>
        </w:tcPr>
        <w:p w14:paraId="2823D6E7" w14:textId="77777777" w:rsidR="00CA05CB" w:rsidRDefault="00CA05CB">
          <w:pPr>
            <w:pBdr>
              <w:top w:val="nil"/>
              <w:left w:val="nil"/>
              <w:bottom w:val="nil"/>
              <w:right w:val="nil"/>
              <w:between w:val="nil"/>
            </w:pBdr>
            <w:tabs>
              <w:tab w:val="center" w:pos="4680"/>
              <w:tab w:val="right" w:pos="9360"/>
            </w:tabs>
            <w:spacing w:before="0"/>
            <w:rPr>
              <w:smallCaps/>
              <w:color w:val="FFFFFF"/>
            </w:rPr>
          </w:pPr>
        </w:p>
      </w:tc>
    </w:tr>
  </w:tbl>
  <w:p w14:paraId="254DDD89" w14:textId="77777777" w:rsidR="00CA05CB" w:rsidRDefault="00CA05CB">
    <w:pPr>
      <w:pBdr>
        <w:top w:val="nil"/>
        <w:left w:val="nil"/>
        <w:bottom w:val="nil"/>
        <w:right w:val="nil"/>
        <w:between w:val="nil"/>
      </w:pBdr>
      <w:tabs>
        <w:tab w:val="center" w:pos="4680"/>
        <w:tab w:val="right" w:pos="9360"/>
      </w:tabs>
      <w:spacing w:before="0" w:after="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56FD" w14:textId="77777777" w:rsidR="00CA05CB" w:rsidRDefault="00000000">
    <w:pPr>
      <w:tabs>
        <w:tab w:val="left" w:pos="5070"/>
        <w:tab w:val="center" w:pos="5400"/>
      </w:tabs>
      <w:spacing w:before="0" w:after="0"/>
      <w:jc w:val="center"/>
      <w:rPr>
        <w:sz w:val="16"/>
        <w:szCs w:val="16"/>
      </w:rPr>
    </w:pPr>
    <w:r>
      <w:rPr>
        <w:color w:val="FFFFFF"/>
      </w:rPr>
      <w:fldChar w:fldCharType="begin"/>
    </w:r>
    <w:r>
      <w:rPr>
        <w:color w:val="FFFFFF"/>
      </w:rPr>
      <w:instrText>PAGE</w:instrText>
    </w:r>
    <w:r>
      <w:rPr>
        <w:color w:val="FFFFFF"/>
      </w:rPr>
      <w:fldChar w:fldCharType="separate"/>
    </w:r>
    <w:r w:rsidR="00115E4F">
      <w:rPr>
        <w:noProof/>
        <w:color w:val="FFFFFF"/>
      </w:rPr>
      <w:t>1</w:t>
    </w:r>
    <w:r>
      <w:rPr>
        <w:color w:val="FFFFFF"/>
      </w:rPr>
      <w:fldChar w:fldCharType="end"/>
    </w:r>
    <w:r>
      <w:rPr>
        <w:sz w:val="16"/>
        <w:szCs w:val="16"/>
      </w:rPr>
      <w:t xml:space="preserve"> </w:t>
    </w:r>
  </w:p>
  <w:p w14:paraId="1C5CEB7F" w14:textId="77777777" w:rsidR="00CA05CB" w:rsidRDefault="00CA05CB">
    <w:pPr>
      <w:pBdr>
        <w:top w:val="nil"/>
        <w:left w:val="nil"/>
        <w:bottom w:val="nil"/>
        <w:right w:val="nil"/>
        <w:between w:val="nil"/>
      </w:pBdr>
      <w:tabs>
        <w:tab w:val="center" w:pos="4680"/>
        <w:tab w:val="right" w:pos="9360"/>
      </w:tabs>
      <w:spacing w:before="0" w:after="0"/>
      <w:rPr>
        <w:color w:val="000000"/>
      </w:rPr>
    </w:pPr>
  </w:p>
  <w:p w14:paraId="33C33AD5" w14:textId="77777777" w:rsidR="00CA05CB" w:rsidRDefault="00000000">
    <w:pPr>
      <w:tabs>
        <w:tab w:val="left" w:pos="5070"/>
        <w:tab w:val="center" w:pos="5400"/>
      </w:tabs>
      <w:spacing w:before="0" w:after="0"/>
      <w:jc w:val="center"/>
      <w:rPr>
        <w:sz w:val="16"/>
        <w:szCs w:val="16"/>
      </w:rPr>
    </w:pPr>
    <w:r>
      <w:rPr>
        <w:color w:val="FFFFFF"/>
      </w:rPr>
      <w:fldChar w:fldCharType="begin"/>
    </w:r>
    <w:r>
      <w:rPr>
        <w:color w:val="FFFFFF"/>
      </w:rPr>
      <w:instrText>PAGE</w:instrText>
    </w:r>
    <w:r>
      <w:rPr>
        <w:color w:val="FFFFFF"/>
      </w:rPr>
      <w:fldChar w:fldCharType="separate"/>
    </w:r>
    <w:r w:rsidR="00115E4F">
      <w:rPr>
        <w:noProof/>
        <w:color w:val="FFFFFF"/>
      </w:rPr>
      <w:t>1</w:t>
    </w:r>
    <w:r>
      <w:rPr>
        <w:color w:val="FFFFFF"/>
      </w:rPr>
      <w:fldChar w:fldCharType="end"/>
    </w:r>
    <w:r>
      <w:rPr>
        <w:sz w:val="16"/>
        <w:szCs w:val="16"/>
      </w:rPr>
      <w:t xml:space="preserve"> The Active Implementation Hub, AI Modules and AI Lessons are developed by the</w:t>
    </w:r>
  </w:p>
  <w:p w14:paraId="63B4D318" w14:textId="77777777" w:rsidR="00CA05CB"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2B133821" w14:textId="77777777" w:rsidR="00CA05CB"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1B5D1FDC" w14:textId="77777777" w:rsidR="00CA05CB" w:rsidRDefault="00000000">
    <w:pPr>
      <w:tabs>
        <w:tab w:val="left" w:pos="5070"/>
        <w:tab w:val="center" w:pos="5400"/>
      </w:tabs>
      <w:spacing w:before="0" w:after="0"/>
      <w:jc w:val="center"/>
      <w:rPr>
        <w:sz w:val="16"/>
        <w:szCs w:val="16"/>
      </w:rPr>
    </w:pPr>
    <w:r>
      <w:rPr>
        <w:sz w:val="16"/>
        <w:szCs w:val="16"/>
      </w:rPr>
      <w:t>THE ACTIVE IMPLEMENTATION HUB | implementation.fpg.unc.edu</w:t>
    </w:r>
  </w:p>
  <w:p w14:paraId="5E9BF48A" w14:textId="77777777" w:rsidR="00CA05CB" w:rsidRDefault="00CA05CB">
    <w:pPr>
      <w:tabs>
        <w:tab w:val="center" w:pos="4680"/>
        <w:tab w:val="right" w:pos="9360"/>
      </w:tabs>
      <w:spacing w:before="0" w:after="0"/>
    </w:pPr>
  </w:p>
  <w:tbl>
    <w:tblPr>
      <w:tblStyle w:val="a6"/>
      <w:tblW w:w="10695" w:type="dxa"/>
      <w:tblInd w:w="98"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110"/>
      <w:gridCol w:w="585"/>
    </w:tblGrid>
    <w:tr w:rsidR="00CA05CB" w14:paraId="55FC4438" w14:textId="77777777">
      <w:trPr>
        <w:trHeight w:val="432"/>
      </w:trPr>
      <w:tc>
        <w:tcPr>
          <w:tcW w:w="10110" w:type="dxa"/>
          <w:tcBorders>
            <w:top w:val="nil"/>
            <w:left w:val="nil"/>
            <w:bottom w:val="nil"/>
          </w:tcBorders>
          <w:shd w:val="clear" w:color="auto" w:fill="3F3F3F"/>
          <w:vAlign w:val="center"/>
        </w:tcPr>
        <w:p w14:paraId="20014620" w14:textId="77777777" w:rsidR="00CA05CB" w:rsidRDefault="00000000">
          <w:pPr>
            <w:tabs>
              <w:tab w:val="center" w:pos="4680"/>
              <w:tab w:val="right" w:pos="9360"/>
            </w:tabs>
            <w:spacing w:before="0"/>
            <w:ind w:right="36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https://implementation.fpg.unc.edu</w:t>
          </w:r>
        </w:p>
      </w:tc>
      <w:tc>
        <w:tcPr>
          <w:tcW w:w="585" w:type="dxa"/>
          <w:tcBorders>
            <w:top w:val="nil"/>
            <w:bottom w:val="nil"/>
            <w:right w:val="nil"/>
          </w:tcBorders>
          <w:shd w:val="clear" w:color="auto" w:fill="006186"/>
          <w:vAlign w:val="center"/>
        </w:tcPr>
        <w:p w14:paraId="6BEBF3FE" w14:textId="77777777" w:rsidR="00CA05CB" w:rsidRDefault="00CA05CB">
          <w:pPr>
            <w:tabs>
              <w:tab w:val="center" w:pos="4680"/>
              <w:tab w:val="right" w:pos="9360"/>
            </w:tabs>
            <w:spacing w:before="0"/>
            <w:rPr>
              <w:smallCaps/>
              <w:color w:val="FFFFFF"/>
            </w:rPr>
          </w:pPr>
        </w:p>
      </w:tc>
    </w:tr>
  </w:tbl>
  <w:p w14:paraId="49D1F661" w14:textId="77777777" w:rsidR="00CA05CB" w:rsidRDefault="00CA05CB">
    <w:pPr>
      <w:tabs>
        <w:tab w:val="center" w:pos="4680"/>
        <w:tab w:val="right" w:pos="9360"/>
      </w:tabs>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CB71" w14:textId="77777777" w:rsidR="001C0C3C" w:rsidRDefault="001C0C3C">
      <w:pPr>
        <w:spacing w:before="0" w:after="0"/>
      </w:pPr>
      <w:r>
        <w:separator/>
      </w:r>
    </w:p>
  </w:footnote>
  <w:footnote w:type="continuationSeparator" w:id="0">
    <w:p w14:paraId="3360E85A" w14:textId="77777777" w:rsidR="001C0C3C" w:rsidRDefault="001C0C3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A21"/>
    <w:multiLevelType w:val="multilevel"/>
    <w:tmpl w:val="C28297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782661F"/>
    <w:multiLevelType w:val="multilevel"/>
    <w:tmpl w:val="1E0041A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C0779F"/>
    <w:multiLevelType w:val="multilevel"/>
    <w:tmpl w:val="DE587AB4"/>
    <w:lvl w:ilvl="0">
      <w:start w:val="1"/>
      <w:numFmt w:val="bullet"/>
      <w:pStyle w:val="ListParagraph"/>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90519120">
    <w:abstractNumId w:val="2"/>
  </w:num>
  <w:num w:numId="2" w16cid:durableId="1943679434">
    <w:abstractNumId w:val="0"/>
  </w:num>
  <w:num w:numId="3" w16cid:durableId="1901549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CB"/>
    <w:rsid w:val="00115E4F"/>
    <w:rsid w:val="001C0C3C"/>
    <w:rsid w:val="00CA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0CBC"/>
  <w15:docId w15:val="{F68FD749-DBB5-4685-9474-FC7B5F1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4605C3"/>
    <w:pPr>
      <w:spacing w:before="0" w:after="200"/>
    </w:pPr>
    <w:rPr>
      <w:i/>
      <w:iCs/>
      <w:color w:val="0082B3" w:themeColor="text2"/>
      <w:sz w:val="18"/>
      <w:szCs w:val="18"/>
    </w:rPr>
  </w:style>
  <w:style w:type="paragraph" w:styleId="EndnoteText">
    <w:name w:val="endnote text"/>
    <w:basedOn w:val="Normal"/>
    <w:link w:val="EndnoteTextChar"/>
    <w:uiPriority w:val="99"/>
    <w:semiHidden/>
    <w:unhideWhenUsed/>
    <w:rsid w:val="001A512C"/>
    <w:pPr>
      <w:spacing w:before="0" w:after="0"/>
    </w:pPr>
    <w:rPr>
      <w:sz w:val="20"/>
      <w:szCs w:val="20"/>
    </w:rPr>
  </w:style>
  <w:style w:type="character" w:customStyle="1" w:styleId="EndnoteTextChar">
    <w:name w:val="Endnote Text Char"/>
    <w:basedOn w:val="DefaultParagraphFont"/>
    <w:link w:val="EndnoteText"/>
    <w:uiPriority w:val="99"/>
    <w:semiHidden/>
    <w:rsid w:val="001A512C"/>
    <w:rPr>
      <w:rFonts w:eastAsia="Times New Roman" w:cs="Times New Roman"/>
      <w:sz w:val="20"/>
      <w:szCs w:val="20"/>
    </w:rPr>
  </w:style>
  <w:style w:type="character" w:styleId="EndnoteReference">
    <w:name w:val="endnote reference"/>
    <w:basedOn w:val="DefaultParagraphFont"/>
    <w:uiPriority w:val="99"/>
    <w:semiHidden/>
    <w:unhideWhenUsed/>
    <w:rsid w:val="001A512C"/>
    <w:rPr>
      <w:vertAlign w:val="superscript"/>
    </w:rPr>
  </w:style>
  <w:style w:type="character" w:styleId="UnresolvedMention">
    <w:name w:val="Unresolved Mention"/>
    <w:basedOn w:val="DefaultParagraphFont"/>
    <w:uiPriority w:val="99"/>
    <w:semiHidden/>
    <w:unhideWhenUsed/>
    <w:rsid w:val="00061602"/>
    <w:rPr>
      <w:color w:val="605E5C"/>
      <w:shd w:val="clear" w:color="auto" w:fill="E1DFDD"/>
    </w:r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mplementation.fpg.unc.edu/resource/activity-creating-hospitable-environments/" TargetMode="External"/><Relationship Id="rId4" Type="http://schemas.openxmlformats.org/officeDocument/2006/relationships/settings" Target="settings.xml"/><Relationship Id="rId9" Type="http://schemas.openxmlformats.org/officeDocument/2006/relationships/hyperlink" Target="https://implementation.fpg.unc.edu/resource/communication-protocols-workshe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iFRjJlkn1+fJPUKF5lvDUEI+sA==">AMUW2mVwPmlEINid5imRM6prsg5QFmEVlUlnsM2U4CYfSc2k1VRtHlS6H7I8uHxb4+0kC0c9sDdR+EJMzevuZ5CVNqacVprqqQ80voyOjZqHLNSNET1CRWn/FKIEVnUP/xO8DrfOOxuGMh8SdlyBaV/8igHRu7/flGMo4YtWcSbuhujniUyvPM67XQhuhPperG6DZMVIXIXqYZa0ZpXNZ5WTinW02Wvm7fIZtV5Yhjub3IgU0vc06SXi1hURjkeyLJfuiLlu/rP4KzXqu2cCM1hsOpmLxZfv21bdtozVu4qPnZQcf+aWQa6YkcqQVwwTD1+hQLRDt/oULwcg1FlfuTxxkKTfIUGmJXzvOR5F++muEtCO5DKOW8Ietk0nO+RpzIlm/GOFKlWPBpFEB0PiVDq1HNVgDsZtqwZXlSG5US0P5VKgnTAO4/JquVQY1bSx6Tx5pyt5DNZ4F+V6l8sQdemVN8yN7BCgsxTugVInf/cj6h7/Txwmx+l5Emtok/TqA6Ei97I5ozSLMLDyufqy7qhKHshoQiHVbnxbSiAf1mdOAet/QWts00bXNelaq6XhmXcyvpovC8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2</cp:revision>
  <dcterms:created xsi:type="dcterms:W3CDTF">2023-04-27T13:58:00Z</dcterms:created>
  <dcterms:modified xsi:type="dcterms:W3CDTF">2023-04-27T13:58:00Z</dcterms:modified>
</cp:coreProperties>
</file>