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1160"/>
        <w:gridCol w:w="3570"/>
        <w:tblGridChange w:id="0">
          <w:tblGrid>
            <w:gridCol w:w="11160"/>
            <w:gridCol w:w="3570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keepNext w:val="0"/>
              <w:keepLines w:val="0"/>
              <w:spacing w:after="240" w:before="240" w:line="240" w:lineRule="auto"/>
              <w:rPr>
                <w:rFonts w:ascii="Trebuchet MS" w:cs="Trebuchet MS" w:eastAsia="Trebuchet MS" w:hAnsi="Trebuchet MS"/>
                <w:b w:val="0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color w:val="ffffff"/>
                <w:sz w:val="28"/>
                <w:szCs w:val="28"/>
                <w:rtl w:val="0"/>
              </w:rPr>
              <w:t xml:space="preserve">Tool: Implementation Teams</w:t>
            </w:r>
          </w:p>
          <w:p w:rsidR="00000000" w:rsidDel="00000000" w:rsidP="00000000" w:rsidRDefault="00000000" w:rsidRPr="00000000" w14:paraId="00000003">
            <w:pPr>
              <w:pStyle w:val="Title"/>
              <w:keepNext w:val="0"/>
              <w:keepLines w:val="0"/>
              <w:spacing w:after="240" w:before="240" w:line="240" w:lineRule="auto"/>
              <w:rPr>
                <w:rFonts w:ascii="Trebuchet MS" w:cs="Trebuchet MS" w:eastAsia="Trebuchet MS" w:hAnsi="Trebuchet MS"/>
                <w:b w:val="0"/>
                <w:i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color w:val="ffffff"/>
                <w:sz w:val="32"/>
                <w:szCs w:val="32"/>
                <w:rtl w:val="0"/>
              </w:rPr>
              <w:t xml:space="preserve">Communication Protocols Worksheet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keepNext w:val="0"/>
              <w:keepLines w:val="0"/>
              <w:spacing w:after="240" w:before="240" w:line="240" w:lineRule="auto"/>
              <w:jc w:val="right"/>
              <w:rPr>
                <w:rFonts w:ascii="Trebuchet MS" w:cs="Trebuchet MS" w:eastAsia="Trebuchet MS" w:hAnsi="Trebuchet MS"/>
                <w:color w:val="ffffff"/>
                <w:sz w:val="52"/>
                <w:szCs w:val="52"/>
              </w:rPr>
            </w:pPr>
            <w:bookmarkStart w:colFirst="0" w:colLast="0" w:name="_heading=h.xsd47kaptj6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52"/>
                <w:szCs w:val="52"/>
              </w:rPr>
              <w:drawing>
                <wp:inline distB="0" distT="0" distL="0" distR="0">
                  <wp:extent cx="2062163" cy="285750"/>
                  <wp:effectExtent b="0" l="0" r="0" t="0"/>
                  <wp:docPr descr="Text&#10;&#10;Description automatically generated" id="19463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120" w:before="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sz w:val="24"/>
          <w:szCs w:val="24"/>
          <w:rtl w:val="0"/>
        </w:rPr>
        <w:t xml:space="preserve">The specific purposes of linking communication protocols are to: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5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Communicate progress and celebrate success throughout the </w:t>
      </w:r>
      <w:r w:rsidDel="00000000" w:rsidR="00000000" w:rsidRPr="00000000">
        <w:rPr>
          <w:sz w:val="24"/>
          <w:szCs w:val="24"/>
          <w:rtl w:val="0"/>
        </w:rPr>
        <w:t xml:space="preserve">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5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systemic barriers that are preventing or hindering implementation and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Should be resolved by one of the groups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7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be moved ‘up the line’ to the group that can best address the barrier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5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on actions taken related to resolve or address past issues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5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Revisit past decisions and agreements periodically to ensure that solutions are still functional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promoting system alignment, you may be developing a ‘chain’ of protocols from the practice level to the state level or you may be developing protocols between and among partners in a collaborative group.  Depending on a number of factors (e.g. how new the relationships are, how cohesive the groups are, how much a common purpose is shared), it may take one or several meetings to work out the first draft of the protocols.  After the protocols have been tried out a couple of times, the process should be evaluated for satisfaction and functionality and then adjust</w:t>
      </w:r>
      <w:r w:rsidDel="00000000" w:rsidR="00000000" w:rsidRPr="00000000">
        <w:rPr>
          <w:sz w:val="24"/>
          <w:szCs w:val="24"/>
          <w:rtl w:val="0"/>
        </w:rPr>
        <w:t xml:space="preserve">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7344"/>
          <w:tab w:val="left" w:leader="none" w:pos="11115"/>
        </w:tabs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6061075</wp:posOffset>
            </wp:positionH>
            <wp:positionV relativeFrom="margin">
              <wp:posOffset>-3174</wp:posOffset>
            </wp:positionV>
            <wp:extent cx="2943860" cy="822325"/>
            <wp:effectExtent b="0" l="0" r="0" t="0"/>
            <wp:wrapSquare wrapText="bothSides" distB="0" distT="0" distL="114300" distR="114300"/>
            <wp:docPr id="1946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822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Communication Protocol Worksheet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From</w:t>
      </w:r>
      <w:r w:rsidDel="00000000" w:rsidR="00000000" w:rsidRPr="00000000">
        <w:rPr>
          <w:rtl w:val="0"/>
        </w:rPr>
        <w:t xml:space="preserve">:</w:t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To</w:t>
      </w:r>
      <w:r w:rsidDel="00000000" w:rsidR="00000000" w:rsidRPr="00000000">
        <w:rPr>
          <w:rtl w:val="0"/>
        </w:rPr>
        <w:t xml:space="preserve">:</w:t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tbl>
      <w:tblPr>
        <w:tblStyle w:val="Table2"/>
        <w:tblW w:w="146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11083"/>
        <w:tblGridChange w:id="0">
          <w:tblGrid>
            <w:gridCol w:w="3595"/>
            <w:gridCol w:w="11083"/>
          </w:tblGrid>
        </w:tblGridChange>
      </w:tblGrid>
      <w:tr>
        <w:trPr>
          <w:cantSplit w:val="0"/>
          <w:trHeight w:val="1152" w:hRule="atLeast"/>
          <w:tblHeader w:val="0"/>
        </w:trPr>
        <w:tc>
          <w:tcPr>
            <w:shd w:fill="006186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Rationale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006186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Information to communicate </w:t>
              <w:br w:type="textWrapping"/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(e.g., updates, successes, challenges)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006186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Responsible Individual(s)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006186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Schedule, Time Allotted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006186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Format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006186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Response Timeline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006186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Response Format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footerReference r:id="rId12" w:type="even"/>
      <w:pgSz w:h="12240" w:w="15840" w:orient="landscape"/>
      <w:pgMar w:bottom="432" w:top="432" w:left="720" w:right="432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leader="none" w:pos="5070"/>
        <w:tab w:val="center" w:leader="none" w:pos="5400"/>
      </w:tabs>
      <w:spacing w:after="0" w:line="240" w:lineRule="auto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leader="none" w:pos="4680"/>
        <w:tab w:val="right" w:leader="none" w:pos="9360"/>
      </w:tabs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3"/>
      <w:tblW w:w="14475.0" w:type="dxa"/>
      <w:jc w:val="left"/>
      <w:tblInd w:w="9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3950"/>
      <w:gridCol w:w="525"/>
      <w:tblGridChange w:id="0">
        <w:tblGrid>
          <w:gridCol w:w="13950"/>
          <w:gridCol w:w="525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23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right="360"/>
            <w:rPr>
              <w:smallCaps w:val="1"/>
              <w:color w:val="ffffff"/>
              <w:sz w:val="24"/>
              <w:szCs w:val="24"/>
            </w:rPr>
          </w:pPr>
          <w:r w:rsidDel="00000000" w:rsidR="00000000" w:rsidRPr="00000000">
            <w:rPr>
              <w:color w:val="ffffff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https://implementation.fpg.unc.edu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24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rPr>
              <w:smallCaps w:val="1"/>
              <w:color w:val="fffff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tabs>
        <w:tab w:val="center" w:leader="none" w:pos="4680"/>
        <w:tab w:val="right" w:leader="none" w:pos="9360"/>
      </w:tabs>
      <w:spacing w:after="0"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4"/>
      <w:tblW w:w="14688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</w:tblBorders>
      <w:tblLayout w:type="fixed"/>
      <w:tblLook w:val="0400"/>
    </w:tblPr>
    <w:tblGrid>
      <w:gridCol w:w="4559"/>
      <w:gridCol w:w="9324"/>
      <w:gridCol w:w="805"/>
      <w:tblGridChange w:id="0">
        <w:tblGrid>
          <w:gridCol w:w="4559"/>
          <w:gridCol w:w="9324"/>
          <w:gridCol w:w="805"/>
        </w:tblGrid>
      </w:tblGridChange>
    </w:tblGrid>
    <w:tr>
      <w:trPr>
        <w:cantSplit w:val="0"/>
        <w:trHeight w:val="25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bottom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www.scalingup.org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bottom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State Implementation &amp; Scaling-up of Evidence-based Practices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ff0000" w:val="clear"/>
          <w:vAlign w:val="bottom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left" w:leader="none" w:pos="5070"/>
        <w:tab w:val="center" w:leader="none" w:pos="5400"/>
      </w:tabs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color w:val="ffffff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The Active Implementation Hub, AI Modules and AI Lessons are developed by the</w:t>
    </w:r>
  </w:p>
  <w:p w:rsidR="00000000" w:rsidDel="00000000" w:rsidP="00000000" w:rsidRDefault="00000000" w:rsidRPr="00000000" w14:paraId="0000002D">
    <w:pPr>
      <w:tabs>
        <w:tab w:val="left" w:leader="none" w:pos="5070"/>
        <w:tab w:val="center" w:leader="none" w:pos="5400"/>
      </w:tabs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2E">
    <w:pPr>
      <w:tabs>
        <w:tab w:val="left" w:leader="none" w:pos="5070"/>
        <w:tab w:val="center" w:leader="none" w:pos="5400"/>
      </w:tabs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2F">
    <w:pPr>
      <w:tabs>
        <w:tab w:val="left" w:leader="none" w:pos="5070"/>
        <w:tab w:val="center" w:leader="none" w:pos="5400"/>
      </w:tabs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implementation.fpg.unc.edu</w:t>
    </w:r>
  </w:p>
  <w:p w:rsidR="00000000" w:rsidDel="00000000" w:rsidP="00000000" w:rsidRDefault="00000000" w:rsidRPr="00000000" w14:paraId="00000030">
    <w:pPr>
      <w:tabs>
        <w:tab w:val="center" w:leader="none" w:pos="4680"/>
        <w:tab w:val="right" w:leader="none" w:pos="9360"/>
      </w:tabs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5"/>
      <w:tblW w:w="14340.0" w:type="dxa"/>
      <w:jc w:val="left"/>
      <w:tblInd w:w="9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3710"/>
      <w:gridCol w:w="630"/>
      <w:tblGridChange w:id="0">
        <w:tblGrid>
          <w:gridCol w:w="13710"/>
          <w:gridCol w:w="630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31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ind w:right="360"/>
            <w:rPr>
              <w:smallCaps w:val="1"/>
              <w:color w:val="ffffff"/>
              <w:sz w:val="24"/>
              <w:szCs w:val="24"/>
            </w:rPr>
          </w:pPr>
          <w:r w:rsidDel="00000000" w:rsidR="00000000" w:rsidRPr="00000000">
            <w:rPr>
              <w:color w:val="ffffff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https://implementation.fpg.unc.edu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32">
          <w:pPr>
            <w:tabs>
              <w:tab w:val="center" w:leader="none" w:pos="4680"/>
              <w:tab w:val="right" w:leader="none" w:pos="9360"/>
            </w:tabs>
            <w:spacing w:after="0" w:line="240" w:lineRule="auto"/>
            <w:rPr>
              <w:smallCaps w:val="1"/>
              <w:color w:val="fffff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tabs>
        <w:tab w:val="center" w:leader="none" w:pos="4680"/>
        <w:tab w:val="right" w:leader="none" w:pos="9360"/>
      </w:tabs>
      <w:spacing w:after="0"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Trebuchet MS" w:cs="Trebuchet MS" w:eastAsia="Trebuchet MS" w:hAnsi="Trebuchet MS"/>
      <w:color w:val="ffffff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C0500"/>
    <w:pPr>
      <w:keepNext w:val="1"/>
      <w:keepLines w:val="1"/>
      <w:spacing w:after="0" w:before="480" w:line="240" w:lineRule="auto"/>
      <w:outlineLvl w:val="0"/>
    </w:pPr>
    <w:rPr>
      <w:rFonts w:ascii="Trebuchet MS" w:hAnsi="Trebuchet MS" w:cstheme="majorBidi" w:eastAsiaTheme="majorEastAsia"/>
      <w:bCs w:val="1"/>
      <w:color w:val="ffffff" w:themeColor="background1"/>
      <w:sz w:val="4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C05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link w:val="FooterChar"/>
    <w:uiPriority w:val="99"/>
    <w:semiHidden w:val="1"/>
    <w:unhideWhenUsed w:val="1"/>
    <w:rsid w:val="00FC05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FC0500"/>
  </w:style>
  <w:style w:type="paragraph" w:styleId="Header">
    <w:name w:val="header"/>
    <w:basedOn w:val="Normal"/>
    <w:link w:val="HeaderChar"/>
    <w:uiPriority w:val="99"/>
    <w:unhideWhenUsed w:val="1"/>
    <w:rsid w:val="00FC05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050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05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0500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FC0500"/>
    <w:rPr>
      <w:rFonts w:ascii="Trebuchet MS" w:hAnsi="Trebuchet MS" w:cstheme="majorBidi" w:eastAsiaTheme="majorEastAsia"/>
      <w:bCs w:val="1"/>
      <w:color w:val="ffffff" w:themeColor="background1"/>
      <w:sz w:val="4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0082B3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PpQkEtOw1gO0ef+Eg8LtOh2fqw==">AMUW2mXNsK3mSXFePP6jwvFSpIOdVDUu2FlNLZIAa7Q8aB2QugAqiSB1iHB08u2AnmXjrtEKKVlKP5WLLS/uhO211AxkftIMfbQNVTdwr4ypKR3SjC1cKY/bzLcyDbnPWGhsV/dpcISHqir6HMR41xuKdCYe/qPH635KOnfeG+AK8D5n3eOHnyaHxXrX+iOZzYLYUebSC333FvcDyR6TBrg6Np7KnLeCsxCxZCVIKhtzxFywNTlUcgWkOe7leetP77vcK0iaq4Tupvycq+kfmGOq4zj8yiwOUEtG19kKmZo/oR2XuIjkE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2019-08-02T07:38:00Z</dcterms:created>
  <dc:creator>JDG</dc:creator>
</cp:coreProperties>
</file>