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114300" distR="114300">
                <wp:extent cx="9220200" cy="711200"/>
                <wp:effectExtent b="0" l="0" r="0" t="0"/>
                <wp:docPr id="1" name=""/>
                <a:graphic>
                  <a:graphicData uri="http://schemas.microsoft.com/office/word/2010/wordprocessingGroup">
                    <wpg:wgp>
                      <wpg:cNvGrpSpPr/>
                      <wpg:grpSpPr>
                        <a:xfrm>
                          <a:off x="735875" y="3424375"/>
                          <a:ext cx="9220200" cy="711200"/>
                          <a:chOff x="735875" y="3424375"/>
                          <a:chExt cx="9220250" cy="711250"/>
                        </a:xfrm>
                      </wpg:grpSpPr>
                      <wpg:grpSp>
                        <wpg:cNvGrpSpPr/>
                        <wpg:grpSpPr>
                          <a:xfrm>
                            <a:off x="735900" y="3424400"/>
                            <a:ext cx="9220200" cy="711200"/>
                            <a:chOff x="0" y="0"/>
                            <a:chExt cx="9220200" cy="711200"/>
                          </a:xfrm>
                        </wpg:grpSpPr>
                        <wps:wsp>
                          <wps:cNvSpPr/>
                          <wps:cNvPr id="3" name="Shape 3"/>
                          <wps:spPr>
                            <a:xfrm>
                              <a:off x="0" y="0"/>
                              <a:ext cx="9220200" cy="71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6350"/>
                              <a:ext cx="6677025" cy="695325"/>
                            </a:xfrm>
                            <a:prstGeom prst="rect">
                              <a:avLst/>
                            </a:prstGeom>
                            <a:solidFill>
                              <a:srgbClr val="00618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9220200" cy="711200"/>
                            </a:xfrm>
                            <a:custGeom>
                              <a:rect b="b" l="l" r="r" t="t"/>
                              <a:pathLst>
                                <a:path extrusionOk="0" h="711200" w="9220200">
                                  <a:moveTo>
                                    <a:pt x="6673850" y="0"/>
                                  </a:moveTo>
                                  <a:lnTo>
                                    <a:pt x="6673850" y="711200"/>
                                  </a:lnTo>
                                  <a:moveTo>
                                    <a:pt x="9213850" y="0"/>
                                  </a:moveTo>
                                  <a:lnTo>
                                    <a:pt x="9213850" y="711200"/>
                                  </a:lnTo>
                                  <a:moveTo>
                                    <a:pt x="0" y="6350"/>
                                  </a:moveTo>
                                  <a:lnTo>
                                    <a:pt x="9220200" y="6350"/>
                                  </a:lnTo>
                                  <a:moveTo>
                                    <a:pt x="0" y="704850"/>
                                  </a:moveTo>
                                  <a:lnTo>
                                    <a:pt x="9220200" y="704850"/>
                                  </a:lnTo>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6350" y="6350"/>
                              <a:ext cx="6667500" cy="698500"/>
                            </a:xfrm>
                            <a:custGeom>
                              <a:rect b="b" l="l" r="r" t="t"/>
                              <a:pathLst>
                                <a:path extrusionOk="0" h="698500" w="6667500">
                                  <a:moveTo>
                                    <a:pt x="0" y="0"/>
                                  </a:moveTo>
                                  <a:lnTo>
                                    <a:pt x="0" y="698500"/>
                                  </a:lnTo>
                                  <a:lnTo>
                                    <a:pt x="6667500" y="698500"/>
                                  </a:lnTo>
                                  <a:lnTo>
                                    <a:pt x="6667500" y="0"/>
                                  </a:lnTo>
                                  <a:close/>
                                </a:path>
                              </a:pathLst>
                            </a:custGeom>
                            <a:solidFill>
                              <a:srgbClr val="006186"/>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5" w:line="240"/>
                                  <w:ind w:left="0" w:right="0" w:firstLine="0"/>
                                  <w:jc w:val="left"/>
                                  <w:textDirection w:val="btLr"/>
                                </w:pPr>
                              </w:p>
                              <w:p w:rsidR="00000000" w:rsidDel="00000000" w:rsidP="00000000" w:rsidRDefault="00000000" w:rsidRPr="00000000">
                                <w:pPr>
                                  <w:spacing w:after="0" w:before="0" w:line="240"/>
                                  <w:ind w:left="100" w:right="0" w:firstLine="100"/>
                                  <w:jc w:val="left"/>
                                  <w:textDirection w:val="btLr"/>
                                </w:pPr>
                                <w:r w:rsidDel="00000000" w:rsidR="00000000" w:rsidRPr="00000000">
                                  <w:rPr>
                                    <w:rFonts w:ascii="Times New Roman" w:cs="Times New Roman" w:eastAsia="Times New Roman" w:hAnsi="Times New Roman"/>
                                    <w:b w:val="0"/>
                                    <w:i w:val="0"/>
                                    <w:smallCaps w:val="0"/>
                                    <w:strike w:val="0"/>
                                    <w:color w:val="000000"/>
                                    <w:sz w:val="33"/>
                                    <w:vertAlign w:val="baseline"/>
                                  </w:rPr>
                                </w:r>
                                <w:r w:rsidDel="00000000" w:rsidR="00000000" w:rsidRPr="00000000">
                                  <w:rPr>
                                    <w:rFonts w:ascii="Trebuchet MS" w:cs="Trebuchet MS" w:eastAsia="Trebuchet MS" w:hAnsi="Trebuchet MS"/>
                                    <w:b w:val="0"/>
                                    <w:i w:val="0"/>
                                    <w:smallCaps w:val="0"/>
                                    <w:strike w:val="0"/>
                                    <w:color w:val="ffffff"/>
                                    <w:sz w:val="28"/>
                                    <w:vertAlign w:val="baseline"/>
                                  </w:rPr>
                                  <w:t xml:space="preserve">Coaching Service Delivery Plan Template</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9220200" cy="711200"/>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9220200" cy="711200"/>
                        </a:xfrm>
                        <a:prstGeom prst="rect"/>
                        <a:ln/>
                      </pic:spPr>
                    </pic:pic>
                  </a:graphicData>
                </a:graphic>
              </wp:inline>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6943724</wp:posOffset>
            </wp:positionH>
            <wp:positionV relativeFrom="paragraph">
              <wp:posOffset>193039</wp:posOffset>
            </wp:positionV>
            <wp:extent cx="2286000" cy="28575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86000" cy="2857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spacing w:before="101" w:lineRule="auto"/>
        <w:ind w:firstLine="220"/>
        <w:rPr/>
      </w:pPr>
      <w:r w:rsidDel="00000000" w:rsidR="00000000" w:rsidRPr="00000000">
        <w:rPr>
          <w:color w:val="0081b3"/>
          <w:rtl w:val="0"/>
        </w:rPr>
        <w:t xml:space="preserve">Background</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220" w:right="3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Professional development, support, and feedback are keys to quality service delivery and to improving service delivery over time and across the staff. Coaching has been demonstrated as a key element to ensure implementation, fidelity, and quality of services. A comprehensive Coaching System is comprised of a usable innovation, the necessary Facilitative Administration supports and other activities and supports as specified by the Implementation Drivers, and a Coaching Service Delivery Plan. The Coaching Service Delivery Plan is a proactive approach to purposeful and supportive coaching. It specifies the Coaching Elements that will promote quality service delivery, support for the Practitioner or Instructional Staff, and serve as the basis for further professional development. It details the responsibilities of both the Coach and the Practitioner. Sound coaching relies on multiple sources of data including qualitative reports of activities, observations, and issues from the practitioner as well as data related to service delivery timeliness, perceived quality and helpfulness of the service by stakeholders, and outcomes of service provision. By developing a Coaching Service Delivery Plan and then adjusting it over time – always with the goal of improved service to staff and students – the Coach and Practitioner can partner in this quality improvement effort. The template provided below provides the basis for developing a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Coaching Service Delivery Plan.</w:t>
      </w:r>
      <w:r w:rsidDel="00000000" w:rsidR="00000000" w:rsidRPr="00000000">
        <w:rPr>
          <w:b w:val="1"/>
          <w:i w:val="1"/>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your team engages in the planning of the coaching service delivery methods and processes, consider the following:</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200" w:line="240" w:lineRule="auto"/>
        <w:ind w:left="9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concepts, skills, or areas to be coached?</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coaching process or processes (e.g., direct observation, documentation review) will be used?</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often will the coaching processes be used?</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the frequency be adjusted as practitioners or instructional staff gain experience and grow in their skill competency?</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40" w:right="409"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preparation is needed for the coaching process? For example, what data or documentation is to be collected or reviewed, and is there a timeline for clear submission to the coach?</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40" w:right="335"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format of the post-meeting/event following the coaching process? For example, will the coach provide feedback during a face-face meeting with the practitioner or instructional staff or during a group reflection meeting?</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the coach document the feedback provide?</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feedback be verbal, written, or both?</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40" w:right="171"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there a timeline for when the coach should provide the written documentation? For example, written documentation is to be provided within 72 hours after verbal feedback, quarterly, etc. How will we know coaching is effective?</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data and how will be collected and analyzed for continuous improvement purposes?</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40" w:right="0" w:hanging="360"/>
        <w:jc w:val="left"/>
        <w:rPr/>
        <w:sectPr>
          <w:headerReference r:id="rId8" w:type="first"/>
          <w:footerReference r:id="rId9" w:type="default"/>
          <w:footerReference r:id="rId10" w:type="first"/>
          <w:pgSz w:h="12240" w:w="15840" w:orient="landscape"/>
          <w:pgMar w:bottom="280" w:top="1000" w:left="500" w:right="600" w:header="720" w:footer="720"/>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our plan for monitoring adherence to the coaching service delivery plan? Who, how, how often, and when will the plan be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pStyle w:val="Heading1"/>
        <w:ind w:left="2939" w:right="2839" w:firstLine="0"/>
        <w:jc w:val="center"/>
        <w:rPr/>
      </w:pPr>
      <w:r w:rsidDel="00000000" w:rsidR="00000000" w:rsidRPr="00000000">
        <w:rPr>
          <w:color w:val="0082b3"/>
          <w:rtl w:val="0"/>
        </w:rPr>
        <w:t xml:space="preserve">Coaching Service Delivery Plan Template</w:t>
      </w:r>
      <w:r w:rsidDel="00000000" w:rsidR="00000000" w:rsidRPr="00000000">
        <w:rPr>
          <w:rtl w:val="0"/>
        </w:rPr>
      </w:r>
    </w:p>
    <w:p w:rsidR="00000000" w:rsidDel="00000000" w:rsidP="00000000" w:rsidRDefault="00000000" w:rsidRPr="00000000" w14:paraId="00000011">
      <w:pPr>
        <w:tabs>
          <w:tab w:val="left" w:leader="none" w:pos="7419"/>
          <w:tab w:val="right" w:leader="none" w:pos="12240"/>
        </w:tabs>
        <w:spacing w:before="124" w:lineRule="auto"/>
        <w:ind w:left="219" w:firstLine="0"/>
        <w:rPr>
          <w:b w:val="1"/>
          <w:sz w:val="24"/>
          <w:szCs w:val="24"/>
        </w:rPr>
      </w:pPr>
      <w:r w:rsidDel="00000000" w:rsidR="00000000" w:rsidRPr="00000000">
        <w:rPr>
          <w:b w:val="1"/>
          <w:sz w:val="24"/>
          <w:szCs w:val="24"/>
          <w:rtl w:val="0"/>
        </w:rPr>
        <w:t xml:space="preserve">Implementation Team: </w:t>
        <w:tab/>
        <w:t xml:space="preserve">Lead Person:</w:t>
      </w:r>
    </w:p>
    <w:p w:rsidR="00000000" w:rsidDel="00000000" w:rsidP="00000000" w:rsidRDefault="00000000" w:rsidRPr="00000000" w14:paraId="00000012">
      <w:pPr>
        <w:tabs>
          <w:tab w:val="left" w:leader="none" w:pos="7419"/>
        </w:tabs>
        <w:spacing w:before="120" w:lineRule="auto"/>
        <w:ind w:left="219" w:firstLine="0"/>
        <w:rPr>
          <w:b w:val="1"/>
          <w:sz w:val="24"/>
          <w:szCs w:val="24"/>
        </w:rPr>
      </w:pPr>
      <w:r w:rsidDel="00000000" w:rsidR="00000000" w:rsidRPr="00000000">
        <w:rPr>
          <w:b w:val="1"/>
          <w:sz w:val="24"/>
          <w:szCs w:val="24"/>
          <w:rtl w:val="0"/>
        </w:rPr>
        <w:t xml:space="preserve">Evidence-based Program:</w:t>
        <w:tab/>
        <w:t xml:space="preserve">Date Initiated:</w:t>
      </w:r>
    </w:p>
    <w:p w:rsidR="00000000" w:rsidDel="00000000" w:rsidP="00000000" w:rsidRDefault="00000000" w:rsidRPr="00000000" w14:paraId="00000013">
      <w:pPr>
        <w:spacing w:before="120" w:lineRule="auto"/>
        <w:ind w:left="220" w:firstLine="0"/>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Plan for Monitoring Adherence to Coaching Service Delivery Plan (who, how, frequency, and schedule):</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9"/>
          <w:szCs w:val="9"/>
          <w:u w:val="none"/>
          <w:shd w:fill="auto" w:val="clear"/>
          <w:vertAlign w:val="baseline"/>
        </w:rPr>
      </w:pPr>
      <w:r w:rsidDel="00000000" w:rsidR="00000000" w:rsidRPr="00000000">
        <w:rPr>
          <w:rtl w:val="0"/>
        </w:rPr>
      </w:r>
    </w:p>
    <w:tbl>
      <w:tblPr>
        <w:tblStyle w:val="Table1"/>
        <w:tblW w:w="14400.0" w:type="dxa"/>
        <w:jc w:val="left"/>
        <w:tblInd w:w="2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800"/>
        <w:gridCol w:w="1800"/>
        <w:gridCol w:w="1800"/>
        <w:gridCol w:w="1800"/>
        <w:gridCol w:w="1800"/>
        <w:gridCol w:w="1800"/>
        <w:gridCol w:w="1800"/>
        <w:gridCol w:w="1800"/>
        <w:tblGridChange w:id="0">
          <w:tblGrid>
            <w:gridCol w:w="1800"/>
            <w:gridCol w:w="1800"/>
            <w:gridCol w:w="1800"/>
            <w:gridCol w:w="1800"/>
            <w:gridCol w:w="1800"/>
            <w:gridCol w:w="1800"/>
            <w:gridCol w:w="1800"/>
            <w:gridCol w:w="1800"/>
          </w:tblGrid>
        </w:tblGridChange>
      </w:tblGrid>
      <w:tr>
        <w:trPr>
          <w:cantSplit w:val="0"/>
          <w:trHeight w:val="1360" w:hRule="atLeast"/>
          <w:tblHeader w:val="0"/>
        </w:trPr>
        <w:tc>
          <w:tcPr>
            <w:shd w:fill="006085"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105" w:right="10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1f1f1"/>
                <w:sz w:val="24"/>
                <w:szCs w:val="24"/>
                <w:u w:val="none"/>
                <w:shd w:fill="auto" w:val="clear"/>
                <w:vertAlign w:val="baseline"/>
                <w:rtl w:val="0"/>
              </w:rPr>
              <w:t xml:space="preserve">Concepts/Areas or Skills Being Coached</w:t>
            </w:r>
            <w:r w:rsidDel="00000000" w:rsidR="00000000" w:rsidRPr="00000000">
              <w:rPr>
                <w:rtl w:val="0"/>
              </w:rPr>
            </w:r>
          </w:p>
        </w:tc>
        <w:tc>
          <w:tcPr>
            <w:shd w:fill="006085"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514" w:right="433" w:hanging="77.00000000000003"/>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1f1f1"/>
                <w:sz w:val="24"/>
                <w:szCs w:val="24"/>
                <w:u w:val="none"/>
                <w:shd w:fill="auto" w:val="clear"/>
                <w:vertAlign w:val="baseline"/>
                <w:rtl w:val="0"/>
              </w:rPr>
              <w:t xml:space="preserve">Coaching Process</w:t>
            </w:r>
            <w:r w:rsidDel="00000000" w:rsidR="00000000" w:rsidRPr="00000000">
              <w:rPr>
                <w:rtl w:val="0"/>
              </w:rPr>
            </w:r>
          </w:p>
        </w:tc>
        <w:tc>
          <w:tcPr>
            <w:shd w:fill="006085"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37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1f1f1"/>
                <w:sz w:val="24"/>
                <w:szCs w:val="24"/>
                <w:u w:val="none"/>
                <w:shd w:fill="auto" w:val="clear"/>
                <w:vertAlign w:val="baseline"/>
                <w:rtl w:val="0"/>
              </w:rPr>
              <w:t xml:space="preserve">Frequency</w:t>
            </w:r>
            <w:r w:rsidDel="00000000" w:rsidR="00000000" w:rsidRPr="00000000">
              <w:rPr>
                <w:rtl w:val="0"/>
              </w:rPr>
            </w:r>
          </w:p>
        </w:tc>
        <w:tc>
          <w:tcPr>
            <w:shd w:fill="006085"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302" w:right="295" w:hanging="1.0000000000000142"/>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1f1f1"/>
                <w:sz w:val="24"/>
                <w:szCs w:val="24"/>
                <w:u w:val="none"/>
                <w:shd w:fill="auto" w:val="clear"/>
                <w:vertAlign w:val="baseline"/>
                <w:rtl w:val="0"/>
              </w:rPr>
              <w:t xml:space="preserve">Practitioner Preparation</w:t>
            </w:r>
            <w:r w:rsidDel="00000000" w:rsidR="00000000" w:rsidRPr="00000000">
              <w:rPr>
                <w:rtl w:val="0"/>
              </w:rPr>
            </w:r>
          </w:p>
        </w:tc>
        <w:tc>
          <w:tcPr>
            <w:shd w:fill="006085"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115" w:right="113" w:hanging="0.9999999999999964"/>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f1f1f1"/>
                <w:sz w:val="24"/>
                <w:szCs w:val="24"/>
                <w:u w:val="none"/>
                <w:shd w:fill="auto" w:val="clear"/>
                <w:vertAlign w:val="baseline"/>
                <w:rtl w:val="0"/>
              </w:rPr>
              <w:t xml:space="preserve">Post Meeting/Event and </w:t>
            </w:r>
            <w:r w:rsidDel="00000000" w:rsidR="00000000" w:rsidRPr="00000000">
              <w:rPr>
                <w:rFonts w:ascii="Calibri" w:cs="Calibri" w:eastAsia="Calibri" w:hAnsi="Calibri"/>
                <w:b w:val="1"/>
                <w:i w:val="0"/>
                <w:smallCaps w:val="0"/>
                <w:strike w:val="0"/>
                <w:color w:val="f1f1f1"/>
                <w:u w:val="none"/>
                <w:shd w:fill="auto" w:val="clear"/>
                <w:vertAlign w:val="baseline"/>
                <w:rtl w:val="0"/>
              </w:rPr>
              <w:t xml:space="preserve">Documentation</w:t>
            </w:r>
            <w:r w:rsidDel="00000000" w:rsidR="00000000" w:rsidRPr="00000000">
              <w:rPr>
                <w:rtl w:val="0"/>
              </w:rPr>
            </w:r>
          </w:p>
        </w:tc>
        <w:tc>
          <w:tcPr>
            <w:shd w:fill="006085" w:val="cle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105" w:right="10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1f1f1"/>
                <w:sz w:val="24"/>
                <w:szCs w:val="24"/>
                <w:u w:val="none"/>
                <w:shd w:fill="auto" w:val="clear"/>
                <w:vertAlign w:val="baseline"/>
                <w:rtl w:val="0"/>
              </w:rPr>
              <w:t xml:space="preserve">Feedback &amp; Documentation by Coach</w:t>
            </w:r>
            <w:r w:rsidDel="00000000" w:rsidR="00000000" w:rsidRPr="00000000">
              <w:rPr>
                <w:rtl w:val="0"/>
              </w:rPr>
            </w:r>
          </w:p>
        </w:tc>
        <w:tc>
          <w:tcPr>
            <w:shd w:fill="006085"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105" w:right="10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1f1f1"/>
                <w:sz w:val="24"/>
                <w:szCs w:val="24"/>
                <w:u w:val="none"/>
                <w:shd w:fill="auto" w:val="clear"/>
                <w:vertAlign w:val="baseline"/>
                <w:rtl w:val="0"/>
              </w:rPr>
              <w:t xml:space="preserve">Timeline for Written Documentation By Coach</w:t>
            </w:r>
            <w:r w:rsidDel="00000000" w:rsidR="00000000" w:rsidRPr="00000000">
              <w:rPr>
                <w:rtl w:val="0"/>
              </w:rPr>
            </w:r>
          </w:p>
        </w:tc>
        <w:tc>
          <w:tcPr>
            <w:shd w:fill="006085" w:val="cle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242" w:right="240" w:hanging="1.0000000000000142"/>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1f1f1"/>
                <w:sz w:val="24"/>
                <w:szCs w:val="24"/>
                <w:u w:val="none"/>
                <w:shd w:fill="auto" w:val="clear"/>
                <w:vertAlign w:val="baseline"/>
                <w:rtl w:val="0"/>
              </w:rPr>
              <w:t xml:space="preserve">Coaching Effectiveness Measure</w:t>
            </w:r>
            <w:r w:rsidDel="00000000" w:rsidR="00000000" w:rsidRPr="00000000">
              <w:rPr>
                <w:rtl w:val="0"/>
              </w:rPr>
            </w:r>
          </w:p>
        </w:tc>
      </w:tr>
      <w:tr>
        <w:trPr>
          <w:cantSplit w:val="0"/>
          <w:trHeight w:val="799" w:hRule="atLeast"/>
          <w:tblHeader w:val="0"/>
        </w:trPr>
        <w:tc>
          <w:tcPr>
            <w:tcBorders>
              <w:right w:color="000000" w:space="0" w:sz="4" w:val="single"/>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85" w:hRule="atLeast"/>
          <w:tblHeader w:val="0"/>
        </w:trPr>
        <w:tc>
          <w:tcPr>
            <w:tcBorders>
              <w:right w:color="000000" w:space="0" w:sz="4" w:val="single"/>
            </w:tcBorders>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64" w:hRule="atLeast"/>
          <w:tblHeader w:val="0"/>
        </w:trPr>
        <w:tc>
          <w:tcPr>
            <w:tcBorders>
              <w:left w:color="000000" w:space="0" w:sz="4" w:val="single"/>
              <w:right w:color="000000" w:space="0" w:sz="4" w:val="single"/>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right w:color="000000" w:space="0" w:sz="8" w:val="single"/>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00" w:hRule="atLeast"/>
          <w:tblHeader w:val="0"/>
        </w:trPr>
        <w:tc>
          <w:tcPr>
            <w:tcBorders>
              <w:left w:color="000000" w:space="0" w:sz="4" w:val="single"/>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5"/>
                <w:szCs w:val="5"/>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 w:right="-4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79" w:hRule="atLeast"/>
          <w:tblHeader w:val="0"/>
        </w:trPr>
        <w:tc>
          <w:tcPr>
            <w:tcBorders>
              <w:left w:color="000000" w:space="0" w:sz="4" w:val="single"/>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5"/>
                <w:szCs w:val="5"/>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2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00" w:hRule="atLeast"/>
          <w:tblHeader w:val="0"/>
        </w:trPr>
        <w:tc>
          <w:tcPr>
            <w:tcBorders>
              <w:left w:color="000000"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3"/>
                <w:szCs w:val="3"/>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2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1">
      <w:pPr>
        <w:ind w:left="0" w:right="2839" w:firstLine="0"/>
        <w:jc w:val="left"/>
        <w:rPr>
          <w:sz w:val="20"/>
          <w:szCs w:val="20"/>
        </w:rPr>
      </w:pPr>
      <w:r w:rsidDel="00000000" w:rsidR="00000000" w:rsidRPr="00000000">
        <w:rPr>
          <w:rtl w:val="0"/>
        </w:rPr>
      </w:r>
    </w:p>
    <w:sectPr>
      <w:type w:val="nextPage"/>
      <w:pgSz w:h="12240" w:w="15840" w:orient="landscape"/>
      <w:pgMar w:bottom="280" w:top="640" w:left="500" w:right="60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widowControl w:val="1"/>
      <w:tabs>
        <w:tab w:val="center" w:leader="none" w:pos="4680"/>
        <w:tab w:val="right" w:leader="none" w:pos="9360"/>
      </w:tabs>
      <w:rPr>
        <w:sz w:val="24"/>
        <w:szCs w:val="24"/>
      </w:rPr>
    </w:pPr>
    <w:r w:rsidDel="00000000" w:rsidR="00000000" w:rsidRPr="00000000">
      <w:rPr>
        <w:rtl w:val="0"/>
      </w:rPr>
    </w:r>
  </w:p>
  <w:tbl>
    <w:tblPr>
      <w:tblStyle w:val="Table2"/>
      <w:tblW w:w="14865.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4340"/>
      <w:gridCol w:w="525"/>
      <w:tblGridChange w:id="0">
        <w:tblGrid>
          <w:gridCol w:w="14340"/>
          <w:gridCol w:w="525"/>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53">
          <w:pPr>
            <w:widowControl w:val="1"/>
            <w:tabs>
              <w:tab w:val="center" w:leader="none" w:pos="4680"/>
              <w:tab w:val="right" w:leader="none" w:pos="9360"/>
            </w:tabs>
            <w:ind w:right="360"/>
            <w:rPr>
              <w:smallCaps w:val="1"/>
              <w:color w:val="ffffff"/>
              <w:sz w:val="24"/>
              <w:szCs w:val="24"/>
            </w:rPr>
          </w:pPr>
          <w:r w:rsidDel="00000000" w:rsidR="00000000" w:rsidRPr="00000000">
            <w:rPr>
              <w:color w:val="ffffff"/>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https://implementation.fpg.unc.edu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54">
          <w:pPr>
            <w:widowControl w:val="1"/>
            <w:tabs>
              <w:tab w:val="center" w:leader="none" w:pos="4680"/>
              <w:tab w:val="right" w:leader="none" w:pos="9360"/>
            </w:tabs>
            <w:rPr>
              <w:smallCaps w:val="1"/>
              <w:color w:val="ffffff"/>
              <w:sz w:val="24"/>
              <w:szCs w:val="24"/>
            </w:rPr>
          </w:pPr>
          <w:r w:rsidDel="00000000" w:rsidR="00000000" w:rsidRPr="00000000">
            <w:rPr>
              <w:rtl w:val="0"/>
            </w:rPr>
          </w:r>
        </w:p>
      </w:tc>
    </w:tr>
  </w:tbl>
  <w:p w:rsidR="00000000" w:rsidDel="00000000" w:rsidP="00000000" w:rsidRDefault="00000000" w:rsidRPr="00000000" w14:paraId="00000055">
    <w:pPr>
      <w:widowControl w:val="1"/>
      <w:tabs>
        <w:tab w:val="center" w:leader="none" w:pos="4680"/>
        <w:tab w:val="right" w:leader="none" w:pos="936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spacing w:before="6" w:lineRule="auto"/>
      <w:rPr>
        <w:b w:val="1"/>
        <w:sz w:val="19"/>
        <w:szCs w:val="19"/>
      </w:rPr>
    </w:pPr>
    <w:r w:rsidDel="00000000" w:rsidR="00000000" w:rsidRPr="00000000">
      <w:rPr>
        <w:rtl w:val="0"/>
      </w:rPr>
    </w:r>
  </w:p>
  <w:p w:rsidR="00000000" w:rsidDel="00000000" w:rsidP="00000000" w:rsidRDefault="00000000" w:rsidRPr="00000000" w14:paraId="00000058">
    <w:pPr>
      <w:ind w:left="2940" w:right="2839" w:firstLine="0"/>
      <w:jc w:val="center"/>
      <w:rPr>
        <w:sz w:val="16"/>
        <w:szCs w:val="16"/>
      </w:rPr>
    </w:pPr>
    <w:r w:rsidDel="00000000" w:rsidR="00000000" w:rsidRPr="00000000">
      <w:rPr>
        <w:sz w:val="16"/>
        <w:szCs w:val="16"/>
        <w:rtl w:val="0"/>
      </w:rPr>
      <w:t xml:space="preserve">The Active Implementation Hub, AI Modules and AI Lessons are developed by the</w:t>
    </w:r>
  </w:p>
  <w:p w:rsidR="00000000" w:rsidDel="00000000" w:rsidP="00000000" w:rsidRDefault="00000000" w:rsidRPr="00000000" w14:paraId="00000059">
    <w:pPr>
      <w:ind w:left="2944" w:right="2839" w:firstLine="0"/>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 located at The University of North Carolina at Chapel Hill’s FPG Child Development Institute. Copyright 2015.</w:t>
    </w:r>
  </w:p>
  <w:p w:rsidR="00000000" w:rsidDel="00000000" w:rsidP="00000000" w:rsidRDefault="00000000" w:rsidRPr="00000000" w14:paraId="0000005A">
    <w:pPr>
      <w:ind w:left="2940" w:right="2839" w:firstLine="0"/>
      <w:jc w:val="center"/>
      <w:rPr>
        <w:sz w:val="16"/>
        <w:szCs w:val="16"/>
      </w:rPr>
    </w:pPr>
    <w:r w:rsidDel="00000000" w:rsidR="00000000" w:rsidRPr="00000000">
      <w:rPr>
        <w:sz w:val="16"/>
        <w:szCs w:val="16"/>
        <w:rtl w:val="0"/>
      </w:rPr>
      <w:t xml:space="preserve">THE ACTIVE IMPLEMENTATION HUB | implementation.fpg.unc.edu</w:t>
    </w:r>
  </w:p>
  <w:p w:rsidR="00000000" w:rsidDel="00000000" w:rsidP="00000000" w:rsidRDefault="00000000" w:rsidRPr="00000000" w14:paraId="0000005B">
    <w:pPr>
      <w:widowControl w:val="1"/>
      <w:tabs>
        <w:tab w:val="center" w:leader="none" w:pos="4680"/>
        <w:tab w:val="right" w:leader="none" w:pos="9360"/>
      </w:tabs>
      <w:rPr>
        <w:sz w:val="24"/>
        <w:szCs w:val="24"/>
      </w:rPr>
    </w:pPr>
    <w:r w:rsidDel="00000000" w:rsidR="00000000" w:rsidRPr="00000000">
      <w:rPr>
        <w:rtl w:val="0"/>
      </w:rPr>
    </w:r>
  </w:p>
  <w:tbl>
    <w:tblPr>
      <w:tblStyle w:val="Table3"/>
      <w:tblW w:w="14670.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4070"/>
      <w:gridCol w:w="600"/>
      <w:tblGridChange w:id="0">
        <w:tblGrid>
          <w:gridCol w:w="14070"/>
          <w:gridCol w:w="600"/>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5C">
          <w:pPr>
            <w:widowControl w:val="1"/>
            <w:tabs>
              <w:tab w:val="center" w:leader="none" w:pos="4680"/>
              <w:tab w:val="right" w:leader="none" w:pos="9360"/>
            </w:tabs>
            <w:ind w:right="360"/>
            <w:rPr>
              <w:smallCaps w:val="1"/>
              <w:color w:val="ffffff"/>
              <w:sz w:val="24"/>
              <w:szCs w:val="24"/>
            </w:rPr>
          </w:pPr>
          <w:r w:rsidDel="00000000" w:rsidR="00000000" w:rsidRPr="00000000">
            <w:rPr>
              <w:color w:val="ffffff"/>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https://implementation.fpg.unc.edu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5D">
          <w:pPr>
            <w:widowControl w:val="1"/>
            <w:tabs>
              <w:tab w:val="center" w:leader="none" w:pos="4680"/>
              <w:tab w:val="right" w:leader="none" w:pos="9360"/>
            </w:tabs>
            <w:rPr>
              <w:smallCaps w:val="1"/>
              <w:color w:val="ffffff"/>
              <w:sz w:val="24"/>
              <w:szCs w:val="24"/>
            </w:rPr>
          </w:pPr>
          <w:r w:rsidDel="00000000" w:rsidR="00000000" w:rsidRPr="00000000">
            <w:rPr>
              <w:rtl w:val="0"/>
            </w:rPr>
          </w:r>
        </w:p>
      </w:tc>
    </w:tr>
  </w:tbl>
  <w:p w:rsidR="00000000" w:rsidDel="00000000" w:rsidP="00000000" w:rsidRDefault="00000000" w:rsidRPr="00000000" w14:paraId="0000005E">
    <w:pPr>
      <w:widowControl w:val="1"/>
      <w:tabs>
        <w:tab w:val="center" w:leader="none" w:pos="4680"/>
        <w:tab w:val="right" w:leader="none" w:pos="9360"/>
      </w:tabs>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940" w:hanging="360"/>
      </w:pPr>
      <w:rPr>
        <w:rFonts w:ascii="Arial" w:cs="Arial" w:eastAsia="Arial" w:hAnsi="Arial"/>
        <w:b w:val="0"/>
        <w:i w:val="0"/>
        <w:sz w:val="22"/>
        <w:szCs w:val="22"/>
      </w:rPr>
    </w:lvl>
    <w:lvl w:ilvl="1">
      <w:start w:val="0"/>
      <w:numFmt w:val="bullet"/>
      <w:lvlText w:val="•"/>
      <w:lvlJc w:val="left"/>
      <w:pPr>
        <w:ind w:left="2320" w:hanging="360"/>
      </w:pPr>
      <w:rPr/>
    </w:lvl>
    <w:lvl w:ilvl="2">
      <w:start w:val="0"/>
      <w:numFmt w:val="bullet"/>
      <w:lvlText w:val="•"/>
      <w:lvlJc w:val="left"/>
      <w:pPr>
        <w:ind w:left="3700" w:hanging="360"/>
      </w:pPr>
      <w:rPr/>
    </w:lvl>
    <w:lvl w:ilvl="3">
      <w:start w:val="0"/>
      <w:numFmt w:val="bullet"/>
      <w:lvlText w:val="•"/>
      <w:lvlJc w:val="left"/>
      <w:pPr>
        <w:ind w:left="5080" w:hanging="360"/>
      </w:pPr>
      <w:rPr/>
    </w:lvl>
    <w:lvl w:ilvl="4">
      <w:start w:val="0"/>
      <w:numFmt w:val="bullet"/>
      <w:lvlText w:val="•"/>
      <w:lvlJc w:val="left"/>
      <w:pPr>
        <w:ind w:left="6460" w:hanging="360"/>
      </w:pPr>
      <w:rPr/>
    </w:lvl>
    <w:lvl w:ilvl="5">
      <w:start w:val="0"/>
      <w:numFmt w:val="bullet"/>
      <w:lvlText w:val="•"/>
      <w:lvlJc w:val="left"/>
      <w:pPr>
        <w:ind w:left="7840" w:hanging="360"/>
      </w:pPr>
      <w:rPr/>
    </w:lvl>
    <w:lvl w:ilvl="6">
      <w:start w:val="0"/>
      <w:numFmt w:val="bullet"/>
      <w:lvlText w:val="•"/>
      <w:lvlJc w:val="left"/>
      <w:pPr>
        <w:ind w:left="9220" w:hanging="360"/>
      </w:pPr>
      <w:rPr/>
    </w:lvl>
    <w:lvl w:ilvl="7">
      <w:start w:val="0"/>
      <w:numFmt w:val="bullet"/>
      <w:lvlText w:val="•"/>
      <w:lvlJc w:val="left"/>
      <w:pPr>
        <w:ind w:left="10600" w:hanging="360"/>
      </w:pPr>
      <w:rPr/>
    </w:lvl>
    <w:lvl w:ilvl="8">
      <w:start w:val="0"/>
      <w:numFmt w:val="bullet"/>
      <w:lvlText w:val="•"/>
      <w:lvlJc w:val="left"/>
      <w:pPr>
        <w:ind w:left="119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0" w:lineRule="auto"/>
      <w:ind w:left="220"/>
    </w:pPr>
    <w:rPr>
      <w:rFonts w:ascii="Trebuchet MS" w:cs="Trebuchet MS" w:eastAsia="Trebuchet MS" w:hAnsi="Trebuchet MS"/>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